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jc w:val="righ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辽营沿环批字〔</w:t>
      </w:r>
      <w:r>
        <w:rPr>
          <w:rFonts w:hint="eastAsia" w:ascii="仿宋_GB2312" w:hAnsi="仿宋_GB2312" w:eastAsia="仿宋_GB2312" w:cs="仿宋_GB2312"/>
          <w:sz w:val="32"/>
          <w:szCs w:val="32"/>
          <w:lang w:val="en-US" w:eastAsia="zh-CN"/>
        </w:rPr>
        <w:t>2018</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12号</w:t>
      </w:r>
    </w:p>
    <w:p>
      <w:pPr>
        <w:jc w:val="right"/>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方正小标宋简体" w:eastAsia="方正小标宋简体"/>
          <w:b/>
          <w:bCs/>
          <w:sz w:val="44"/>
          <w:szCs w:val="44"/>
          <w:lang w:val="en-US" w:eastAsia="zh-CN"/>
        </w:rPr>
      </w:pPr>
      <w:r>
        <w:rPr>
          <w:rFonts w:hint="eastAsia" w:ascii="方正小标宋简体" w:eastAsia="方正小标宋简体"/>
          <w:b/>
          <w:bCs/>
          <w:sz w:val="44"/>
          <w:szCs w:val="44"/>
          <w:lang w:val="en-US" w:eastAsia="zh-CN"/>
        </w:rPr>
        <w:t>关于辽宁宏</w:t>
      </w:r>
      <w:bookmarkStart w:id="0" w:name="_GoBack"/>
      <w:bookmarkEnd w:id="0"/>
      <w:r>
        <w:rPr>
          <w:rFonts w:hint="eastAsia" w:ascii="方正小标宋简体" w:eastAsia="方正小标宋简体"/>
          <w:b/>
          <w:bCs/>
          <w:sz w:val="44"/>
          <w:szCs w:val="44"/>
          <w:lang w:val="en-US" w:eastAsia="zh-CN"/>
        </w:rPr>
        <w:t>峰科技有限公司年产3000吨2-氯-5-氯甲基吡啶及年产1000吨啶虫脒项目环境影响报告书的批复</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方正小标宋简体" w:eastAsia="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辽宁宏峰科技有限公司：</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你公司报送的《辽宁宏峰科技有限公司3000吨/年2-氯-5-氯甲基吡啶、1000吨/年啶虫脒项目环境影响报告书》（以下简称“报告书”）收悉，经辽宁（营口）沿海产业基地环境保护局项目会审查，现就该“报告书”批复如下：</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firstLine="640" w:firstLineChars="200"/>
        <w:jc w:val="left"/>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该项目位于辽宁（营口）沿海产业基地冶金、化工重装备区，项目占地面积142709.85平方米，总建筑面积85626平方米。项目主要新建2-氯-5-氯甲基吡啶生产车间二座、啶虫脒生产车间一座、干燥车间一座、原料库二座、成品库二座、危废仓库一座并配套建设储罐区、污水处理站、危险废物焚烧车间、办公楼、质检中心、车间化验楼等设施。项目达产后，年产3000吨2-氯-5-氯甲基吡啶、1000吨啶虫脒。项目总投资6亿元，环保投资3740万元。</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left"/>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在全面落实“报告书”提出的各项污染防治措施的前提下，我局同意你公司按照“报告书”所列建设项目的性质、地点、规模、采用的生产工艺、环境保护措施进行项目建设。</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leftChars="0" w:firstLine="640" w:firstLineChars="200"/>
        <w:jc w:val="left"/>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项目建设和运行管理中必须严格落实“报告书”提出的各项污染防治措施，并重点做好以下工作：</w:t>
      </w:r>
    </w:p>
    <w:p>
      <w:pPr>
        <w:tabs>
          <w:tab w:val="left" w:pos="3752"/>
        </w:tabs>
        <w:ind w:firstLine="640" w:firstLineChars="200"/>
        <w:rPr>
          <w:rFonts w:hint="eastAsia" w:ascii="仿宋_GB2312" w:hAnsi="宋体" w:eastAsia="仿宋_GB2312"/>
          <w:sz w:val="32"/>
          <w:szCs w:val="32"/>
        </w:rPr>
      </w:pPr>
      <w:r>
        <w:rPr>
          <w:rFonts w:hint="eastAsia" w:ascii="仿宋_GB2312" w:hAnsi="仿宋_GB2312" w:eastAsia="仿宋_GB2312" w:cs="仿宋_GB2312"/>
          <w:sz w:val="32"/>
          <w:szCs w:val="32"/>
          <w:lang w:val="en-US" w:eastAsia="zh-CN"/>
        </w:rPr>
        <w:t>1、</w:t>
      </w:r>
      <w:r>
        <w:rPr>
          <w:rFonts w:hint="eastAsia" w:eastAsia="仿宋_GB2312"/>
          <w:bCs/>
          <w:sz w:val="32"/>
          <w:szCs w:val="32"/>
        </w:rPr>
        <w:t>加强施工期环境保护工作，采取切实可行的措施，严格控制施工扬尘、噪声、废水及固体废物对周围环境的影响。</w:t>
      </w:r>
    </w:p>
    <w:p>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2、本项目工艺废气主要有丙烯腈、甲苯、丙烯醛、氯气、氯化氢、粉尘、导热油炉烟气、污水处理站硫化氢、氨气、焚烧炉废气烟尘、二氧化硫、氮氧化物、一氧化碳、二噁英等。</w:t>
      </w:r>
    </w:p>
    <w:p>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CNC工段产生的脱溶废气丙烯腈</w:t>
      </w:r>
      <w:r>
        <w:rPr>
          <w:rFonts w:hint="eastAsia" w:ascii="仿宋_GB2312" w:hAnsi="仿宋_GB2312" w:eastAsia="仿宋_GB2312" w:cs="仿宋_GB2312"/>
          <w:color w:val="auto"/>
          <w:sz w:val="32"/>
          <w:szCs w:val="32"/>
          <w:lang w:val="en-US" w:eastAsia="zh-CN"/>
        </w:rPr>
        <w:t>、叔丁醇、</w:t>
      </w:r>
      <w:r>
        <w:rPr>
          <w:rFonts w:hint="eastAsia" w:ascii="仿宋_GB2312" w:hAnsi="仿宋_GB2312" w:eastAsia="仿宋_GB2312" w:cs="仿宋_GB2312"/>
          <w:sz w:val="32"/>
          <w:szCs w:val="32"/>
          <w:lang w:val="en-US" w:eastAsia="zh-CN"/>
        </w:rPr>
        <w:t>氯苯，采用三套水冷+盐冷多级冷凝装置处理；PMC工段产生的脱溶废气甲苯，采用一套水冷+盐冷多级冷凝装置处理，处理后丙烯腈</w:t>
      </w:r>
      <w:r>
        <w:rPr>
          <w:rFonts w:hint="eastAsia" w:ascii="仿宋_GB2312" w:hAnsi="仿宋_GB2312" w:eastAsia="仿宋_GB2312" w:cs="仿宋_GB2312"/>
          <w:color w:val="auto"/>
          <w:sz w:val="32"/>
          <w:szCs w:val="32"/>
          <w:lang w:val="en-US" w:eastAsia="zh-CN"/>
        </w:rPr>
        <w:t>、叔丁醇、</w:t>
      </w:r>
      <w:r>
        <w:rPr>
          <w:rFonts w:hint="eastAsia" w:ascii="仿宋_GB2312" w:hAnsi="仿宋_GB2312" w:eastAsia="仿宋_GB2312" w:cs="仿宋_GB2312"/>
          <w:sz w:val="32"/>
          <w:szCs w:val="32"/>
          <w:lang w:val="en-US" w:eastAsia="zh-CN"/>
        </w:rPr>
        <w:t>氯苯、甲苯统一经活性炭吸附后通过一根26m高排气筒排放；确保丙烯腈</w:t>
      </w:r>
      <w:r>
        <w:rPr>
          <w:rFonts w:hint="eastAsia" w:ascii="仿宋_GB2312" w:hAnsi="仿宋_GB2312" w:eastAsia="仿宋_GB2312" w:cs="仿宋_GB2312"/>
          <w:color w:val="auto"/>
          <w:sz w:val="32"/>
          <w:szCs w:val="32"/>
          <w:lang w:val="en-US" w:eastAsia="zh-CN"/>
        </w:rPr>
        <w:t>、叔丁醇、</w:t>
      </w:r>
      <w:r>
        <w:rPr>
          <w:rFonts w:hint="eastAsia" w:ascii="仿宋_GB2312" w:hAnsi="仿宋_GB2312" w:eastAsia="仿宋_GB2312" w:cs="仿宋_GB2312"/>
          <w:sz w:val="32"/>
          <w:szCs w:val="32"/>
          <w:lang w:val="en-US" w:eastAsia="zh-CN"/>
        </w:rPr>
        <w:t>氯苯、甲苯的排放浓度和排放速率满足《大气污染物综合排放标准》（GB 16297-1996）表2中二级标准限值要求。CCC工段产生的氯气采用四套二级碱吸收装置处理后通过一根26m高排气筒排放；</w:t>
      </w:r>
      <w:r>
        <w:rPr>
          <w:rFonts w:hint="eastAsia" w:ascii="仿宋_GB2312" w:hAnsi="仿宋_GB2312" w:eastAsia="仿宋_GB2312" w:cs="仿宋_GB2312"/>
          <w:color w:val="auto"/>
          <w:sz w:val="32"/>
          <w:szCs w:val="32"/>
          <w:lang w:val="en-US" w:eastAsia="zh-CN"/>
        </w:rPr>
        <w:t>PMC工段</w:t>
      </w:r>
      <w:r>
        <w:rPr>
          <w:rFonts w:hint="eastAsia" w:ascii="仿宋_GB2312" w:hAnsi="仿宋_GB2312" w:eastAsia="仿宋_GB2312" w:cs="仿宋_GB2312"/>
          <w:sz w:val="32"/>
          <w:szCs w:val="32"/>
          <w:lang w:val="en-US" w:eastAsia="zh-CN"/>
        </w:rPr>
        <w:t>产生的氯化氢，采用四套二级降膜水吸收和一级碱吸收装置处理后通过一根26m高排气筒排放，确保</w:t>
      </w:r>
      <w:r>
        <w:rPr>
          <w:rFonts w:hint="eastAsia" w:ascii="仿宋_GB2312" w:hAnsi="仿宋_GB2312" w:eastAsia="仿宋_GB2312" w:cs="仿宋_GB2312"/>
          <w:color w:val="auto"/>
          <w:sz w:val="32"/>
          <w:szCs w:val="32"/>
          <w:lang w:val="en-US" w:eastAsia="zh-CN"/>
        </w:rPr>
        <w:t>氯气、</w:t>
      </w:r>
      <w:r>
        <w:rPr>
          <w:rFonts w:hint="eastAsia" w:ascii="仿宋_GB2312" w:hAnsi="仿宋_GB2312" w:eastAsia="仿宋_GB2312" w:cs="仿宋_GB2312"/>
          <w:sz w:val="32"/>
          <w:szCs w:val="32"/>
          <w:lang w:val="en-US" w:eastAsia="zh-CN"/>
        </w:rPr>
        <w:t>氯化氢的排放浓度和排放速率满足《大气污染物综合排放标准》（GB 16297-1996）表2中二级标准限值要求。啶虫脒合成工段一次脱溶产生的废气甲苯、</w:t>
      </w:r>
      <w:r>
        <w:rPr>
          <w:rFonts w:hint="eastAsia" w:ascii="仿宋_GB2312" w:hAnsi="仿宋_GB2312" w:eastAsia="仿宋_GB2312" w:cs="仿宋_GB2312"/>
          <w:color w:val="auto"/>
          <w:sz w:val="32"/>
          <w:szCs w:val="32"/>
          <w:lang w:val="en-US" w:eastAsia="zh-CN"/>
        </w:rPr>
        <w:t>一甲胺</w:t>
      </w:r>
      <w:r>
        <w:rPr>
          <w:rFonts w:hint="eastAsia" w:ascii="仿宋_GB2312" w:hAnsi="仿宋_GB2312" w:eastAsia="仿宋_GB2312" w:cs="仿宋_GB2312"/>
          <w:sz w:val="32"/>
          <w:szCs w:val="32"/>
          <w:lang w:val="en-US" w:eastAsia="zh-CN"/>
        </w:rPr>
        <w:t>，采用两套多级冷凝装置处理；二次脱溶产生的废气甲苯，采用一套多级冷凝装置处理；冷却、结晶、离心产生的废气甲苯、甲醇、乙醇，采用三套多级冷凝装置处理；母液脱溶产生的废气甲醇、乙醇采用两套多级冷凝装置处理，统一经活性炭吸附后通过一根26m高排气筒排放；确保甲苯、甲醇、乙醇的排放浓度和排放速率满足《大气污染物综合排放标准》（GB 16297-1996）表2中二级标准限值要求。粗产品烘干产生的粉尘采用布袋除尘器处理；粗产品烘干产生的废气甲醇、乙醇采用两套多级冷凝装置处理；烘干产生的废气甲醇、乙醇、粉尘统一经活性碳吸附装置处理后通过一根15m高排气筒排放，确保甲醇、乙醇、颗粒物的排放浓度和排放速率满足《大气污染物综合排放标准》（GB 16297-1996）表2中二级标准限值要求。</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left"/>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本项目污水处理站废气硫化氢、氨气，采用加盖收集，</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auto"/>
          <w:sz w:val="32"/>
          <w:szCs w:val="32"/>
          <w:lang w:val="en-US" w:eastAsia="zh-CN"/>
        </w:rPr>
        <w:t>通过引风管道引至喷淋吸收装置处理后经15m高排气筒排放</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color w:val="auto"/>
          <w:sz w:val="32"/>
          <w:szCs w:val="32"/>
          <w:lang w:eastAsia="zh-CN"/>
        </w:rPr>
        <w:t>污泥干化产生的不凝气</w:t>
      </w:r>
      <w:r>
        <w:rPr>
          <w:rFonts w:hint="eastAsia" w:ascii="仿宋_GB2312" w:hAnsi="仿宋_GB2312" w:eastAsia="仿宋_GB2312" w:cs="仿宋_GB2312"/>
          <w:color w:val="auto"/>
          <w:sz w:val="32"/>
          <w:szCs w:val="32"/>
          <w:lang w:eastAsia="zh-CN"/>
        </w:rPr>
        <w:t>氨气，硫化氢</w:t>
      </w:r>
      <w:r>
        <w:rPr>
          <w:rFonts w:hint="default" w:ascii="仿宋_GB2312" w:hAnsi="仿宋_GB2312" w:eastAsia="仿宋_GB2312" w:cs="仿宋_GB2312"/>
          <w:color w:val="auto"/>
          <w:sz w:val="32"/>
          <w:szCs w:val="32"/>
          <w:lang w:eastAsia="zh-CN"/>
        </w:rPr>
        <w:t>，经生物过滤除臭系统处理后</w:t>
      </w:r>
      <w:r>
        <w:rPr>
          <w:rFonts w:hint="eastAsia" w:ascii="仿宋_GB2312" w:hAnsi="仿宋_GB2312" w:eastAsia="仿宋_GB2312" w:cs="仿宋_GB2312"/>
          <w:color w:val="auto"/>
          <w:sz w:val="32"/>
          <w:szCs w:val="32"/>
          <w:lang w:eastAsia="zh-CN"/>
        </w:rPr>
        <w:t>通过</w:t>
      </w:r>
      <w:r>
        <w:rPr>
          <w:rFonts w:hint="default" w:ascii="仿宋_GB2312" w:hAnsi="仿宋_GB2312" w:eastAsia="仿宋_GB2312" w:cs="仿宋_GB2312"/>
          <w:color w:val="auto"/>
          <w:sz w:val="32"/>
          <w:szCs w:val="32"/>
          <w:lang w:val="en-US" w:eastAsia="zh-CN"/>
        </w:rPr>
        <w:t>15m排气筒排放。</w:t>
      </w:r>
      <w:r>
        <w:rPr>
          <w:rFonts w:hint="eastAsia" w:ascii="仿宋_GB2312" w:hAnsi="仿宋_GB2312" w:eastAsia="仿宋_GB2312" w:cs="仿宋_GB2312"/>
          <w:sz w:val="32"/>
          <w:szCs w:val="32"/>
          <w:vertAlign w:val="baseline"/>
          <w:lang w:val="en-US" w:eastAsia="zh-CN"/>
        </w:rPr>
        <w:t>确保氨气、硫化氢</w:t>
      </w:r>
      <w:r>
        <w:rPr>
          <w:rFonts w:hint="eastAsia" w:ascii="仿宋_GB2312" w:hAnsi="仿宋_GB2312" w:eastAsia="仿宋_GB2312" w:cs="仿宋_GB2312"/>
          <w:sz w:val="32"/>
          <w:szCs w:val="32"/>
          <w:lang w:val="en-US" w:eastAsia="zh-CN"/>
        </w:rPr>
        <w:t>的排放浓度和排放速率满足《恶臭污染物排放标准》（GB14554-1993）表中二级标准限值要求。</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left"/>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本项目实验废气VOCs通过活性炭吸附经15m高排气筒</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排放，确保VOCs排放浓度满足《天津市工业企业挥发性有机物排放控制标准》（DB12/524-2014）的标准限值要求。</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left"/>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项目设置一台50t/d的焚烧炉，焚烧炉产生的烟尘、酸性组分（二氧化硫、氮氧化物、氯化氢等）和二噁英废气经烟气处理系统（SNCR脱硝+余热锅炉+急冷塔+干式吸附塔+布袋除尘器+SCR脱硝+湿式洗涤塔）处理后通过一根45m高排气筒排放，确保烟气黑度、烟尘、一氧化碳、二氧化硫、氮氧化物、氯化氢的排放浓度满足《危险废物焚烧污染控制标准》（GB18484-2011）的标准限值要求；确保二噁英的排放浓度满足《危险废物焚烧污染控制标准》（GB18484-2011）（征求意见稿）的标准限值要求。</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left"/>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项目设置一台6t/h的燃气导热油炉和一台15t/h的蒸汽锅炉，天然气燃烧后产生的废气经两个9m高的排气筒排放，确保二氧化硫、氮氧化物、颗粒物的排放浓度和速率满足《锅炉污染物大气排放标准》（GB13271-2014）中的标准限值要求。</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left"/>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食堂油烟经油烟净化器处理后排放，确保油烟排放浓度满足《饮食业油烟排放浓度标准》(试行)（GB18483-2001）的标准限值要求。</w:t>
      </w:r>
    </w:p>
    <w:p>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宋体" w:eastAsia="仿宋_GB2312"/>
          <w:color w:val="auto"/>
          <w:sz w:val="32"/>
          <w:szCs w:val="32"/>
          <w:lang w:eastAsia="zh-CN"/>
        </w:rPr>
      </w:pPr>
      <w:r>
        <w:rPr>
          <w:rFonts w:hint="eastAsia" w:ascii="仿宋_GB2312" w:hAnsi="宋体" w:eastAsia="仿宋_GB2312" w:cs="Times New Roman"/>
          <w:color w:val="auto"/>
          <w:sz w:val="32"/>
          <w:szCs w:val="32"/>
          <w:lang w:eastAsia="zh-CN"/>
        </w:rPr>
        <w:t>本项目须</w:t>
      </w:r>
      <w:r>
        <w:rPr>
          <w:rFonts w:hint="default" w:ascii="仿宋_GB2312" w:hAnsi="宋体" w:eastAsia="仿宋_GB2312" w:cs="Times New Roman"/>
          <w:color w:val="auto"/>
          <w:sz w:val="32"/>
          <w:szCs w:val="32"/>
        </w:rPr>
        <w:t>加强生产管理、确保设备的密闭性</w:t>
      </w:r>
      <w:r>
        <w:rPr>
          <w:rFonts w:hint="eastAsia" w:ascii="仿宋_GB2312" w:hAnsi="宋体" w:eastAsia="仿宋_GB2312" w:cs="Times New Roman"/>
          <w:color w:val="auto"/>
          <w:sz w:val="32"/>
          <w:szCs w:val="32"/>
          <w:lang w:eastAsia="zh-CN"/>
        </w:rPr>
        <w:t>，</w:t>
      </w:r>
      <w:r>
        <w:rPr>
          <w:rFonts w:hint="default" w:ascii="仿宋_GB2312" w:hAnsi="宋体" w:eastAsia="仿宋_GB2312" w:cs="Times New Roman"/>
          <w:color w:val="auto"/>
          <w:sz w:val="32"/>
          <w:szCs w:val="32"/>
        </w:rPr>
        <w:t>加强设备的维护，定期对设备进行检查，减少装置的跑、冒、滴、漏</w:t>
      </w:r>
      <w:r>
        <w:rPr>
          <w:rFonts w:hint="eastAsia" w:ascii="仿宋_GB2312" w:hAnsi="宋体" w:eastAsia="仿宋_GB2312" w:cs="Times New Roman"/>
          <w:color w:val="auto"/>
          <w:sz w:val="32"/>
          <w:szCs w:val="32"/>
          <w:lang w:eastAsia="zh-CN"/>
        </w:rPr>
        <w:t>；储罐区储罐均采取氮封；</w:t>
      </w:r>
      <w:r>
        <w:rPr>
          <w:rFonts w:hint="default" w:ascii="仿宋_GB2312" w:hAnsi="宋体" w:eastAsia="仿宋_GB2312" w:cs="Times New Roman"/>
          <w:color w:val="auto"/>
          <w:sz w:val="32"/>
          <w:szCs w:val="32"/>
          <w:lang w:val="en-US" w:eastAsia="zh-CN"/>
        </w:rPr>
        <w:t>丙烯腈、丙烯醛、甲醇储罐</w:t>
      </w:r>
      <w:r>
        <w:rPr>
          <w:rFonts w:hint="eastAsia" w:ascii="仿宋_GB2312" w:hAnsi="宋体" w:eastAsia="仿宋_GB2312" w:cs="Times New Roman"/>
          <w:color w:val="auto"/>
          <w:sz w:val="32"/>
          <w:szCs w:val="32"/>
          <w:lang w:val="en-US" w:eastAsia="zh-CN"/>
        </w:rPr>
        <w:t>经</w:t>
      </w:r>
      <w:r>
        <w:rPr>
          <w:rFonts w:hint="default" w:ascii="仿宋_GB2312" w:hAnsi="宋体" w:eastAsia="仿宋_GB2312" w:cs="Times New Roman"/>
          <w:color w:val="auto"/>
          <w:sz w:val="32"/>
          <w:szCs w:val="32"/>
          <w:lang w:val="en-US" w:eastAsia="zh-CN"/>
        </w:rPr>
        <w:t>密闭排气系统</w:t>
      </w:r>
      <w:r>
        <w:rPr>
          <w:rFonts w:hint="eastAsia" w:ascii="仿宋_GB2312" w:hAnsi="宋体" w:eastAsia="仿宋_GB2312" w:cs="Times New Roman"/>
          <w:color w:val="auto"/>
          <w:sz w:val="32"/>
          <w:szCs w:val="32"/>
          <w:lang w:val="en-US" w:eastAsia="zh-CN"/>
        </w:rPr>
        <w:t>连接</w:t>
      </w:r>
      <w:r>
        <w:rPr>
          <w:rFonts w:hint="default" w:ascii="仿宋_GB2312" w:hAnsi="宋体" w:eastAsia="仿宋_GB2312" w:cs="Times New Roman"/>
          <w:color w:val="auto"/>
          <w:sz w:val="32"/>
          <w:szCs w:val="32"/>
          <w:lang w:val="en-US" w:eastAsia="zh-CN"/>
        </w:rPr>
        <w:t>至有机废气冷凝回收装置</w:t>
      </w:r>
      <w:r>
        <w:rPr>
          <w:rFonts w:hint="eastAsia" w:ascii="仿宋_GB2312" w:hAnsi="宋体" w:eastAsia="仿宋_GB2312" w:cs="Times New Roman"/>
          <w:color w:val="auto"/>
          <w:sz w:val="32"/>
          <w:szCs w:val="32"/>
          <w:lang w:val="en-US" w:eastAsia="zh-CN"/>
        </w:rPr>
        <w:t>。确保各污染物排放浓度</w:t>
      </w:r>
      <w:r>
        <w:rPr>
          <w:rFonts w:hint="eastAsia" w:ascii="仿宋_GB2312" w:hAnsi="仿宋_GB2312" w:eastAsia="仿宋_GB2312" w:cs="仿宋_GB2312"/>
          <w:sz w:val="32"/>
          <w:szCs w:val="32"/>
          <w:lang w:val="en-US" w:eastAsia="zh-CN"/>
        </w:rPr>
        <w:t>满足《大气污染物综合排放标准》（GB 16297-1996）中无组织排放浓度标准限值要求。</w:t>
      </w:r>
    </w:p>
    <w:p>
      <w:pPr>
        <w:numPr>
          <w:ilvl w:val="0"/>
          <w:numId w:val="2"/>
        </w:numPr>
        <w:spacing w:line="360" w:lineRule="auto"/>
        <w:ind w:firstLine="640" w:firstLineChars="200"/>
        <w:rPr>
          <w:rFonts w:hint="eastAsia" w:ascii="仿宋_GB2312" w:hAnsi="宋体" w:eastAsia="仿宋_GB2312"/>
          <w:color w:val="auto"/>
          <w:sz w:val="32"/>
          <w:szCs w:val="32"/>
          <w:lang w:val="en-US" w:eastAsia="zh-CN"/>
        </w:rPr>
      </w:pPr>
      <w:r>
        <w:rPr>
          <w:rFonts w:hint="eastAsia" w:ascii="仿宋_GB2312" w:hAnsi="仿宋_GB2312" w:eastAsia="仿宋_GB2312" w:cs="仿宋_GB2312"/>
          <w:sz w:val="32"/>
          <w:szCs w:val="32"/>
          <w:lang w:val="en-US" w:eastAsia="zh-CN"/>
        </w:rPr>
        <w:t>按</w:t>
      </w:r>
      <w:r>
        <w:rPr>
          <w:rFonts w:hint="eastAsia" w:ascii="仿宋_GB2312" w:hAnsi="仿宋_GB2312" w:eastAsia="仿宋_GB2312" w:cs="仿宋_GB2312"/>
          <w:sz w:val="32"/>
          <w:szCs w:val="32"/>
          <w:lang w:eastAsia="zh-CN"/>
        </w:rPr>
        <w:t>照“清污分流</w:t>
      </w:r>
      <w:r>
        <w:rPr>
          <w:rFonts w:hint="default" w:ascii="仿宋_GB2312" w:hAnsi="仿宋_GB2312" w:eastAsia="仿宋_GB2312" w:cs="仿宋_GB2312"/>
          <w:sz w:val="32"/>
          <w:szCs w:val="32"/>
          <w:lang w:eastAsia="zh-CN"/>
        </w:rPr>
        <w:t>、</w:t>
      </w:r>
      <w:r>
        <w:rPr>
          <w:rFonts w:hint="eastAsia" w:ascii="仿宋_GB2312" w:hAnsi="仿宋_GB2312" w:eastAsia="仿宋_GB2312" w:cs="仿宋_GB2312"/>
          <w:sz w:val="32"/>
          <w:szCs w:val="32"/>
          <w:lang w:eastAsia="zh-CN"/>
        </w:rPr>
        <w:t>雨污分流、污污分流、分类收集、分质处理”原则，建设厂区废水收集、处理系统。</w:t>
      </w:r>
      <w:r>
        <w:rPr>
          <w:rFonts w:hint="eastAsia" w:ascii="仿宋_GB2312" w:hAnsi="宋体" w:eastAsia="仿宋_GB2312"/>
          <w:color w:val="auto"/>
          <w:sz w:val="32"/>
          <w:szCs w:val="32"/>
          <w:lang w:val="en-US" w:eastAsia="zh-CN"/>
        </w:rPr>
        <w:t>项目建设一座处理能力为400m</w:t>
      </w:r>
      <w:r>
        <w:rPr>
          <w:rFonts w:hint="eastAsia" w:ascii="仿宋_GB2312" w:hAnsi="宋体" w:eastAsia="仿宋_GB2312"/>
          <w:color w:val="auto"/>
          <w:sz w:val="32"/>
          <w:szCs w:val="32"/>
          <w:vertAlign w:val="superscript"/>
          <w:lang w:val="en-US" w:eastAsia="zh-CN"/>
        </w:rPr>
        <w:t>3</w:t>
      </w:r>
      <w:r>
        <w:rPr>
          <w:rFonts w:hint="eastAsia" w:ascii="仿宋_GB2312" w:hAnsi="宋体" w:eastAsia="仿宋_GB2312"/>
          <w:color w:val="auto"/>
          <w:sz w:val="32"/>
          <w:szCs w:val="32"/>
          <w:lang w:val="en-US" w:eastAsia="zh-CN"/>
        </w:rPr>
        <w:t>/d的综合污水处理站。污水处理系统采用“</w:t>
      </w:r>
      <w:r>
        <w:rPr>
          <w:rFonts w:hint="default" w:ascii="仿宋_GB2312" w:hAnsi="宋体" w:eastAsia="仿宋_GB2312" w:cs="Times New Roman"/>
          <w:color w:val="auto"/>
          <w:sz w:val="32"/>
          <w:szCs w:val="32"/>
          <w:lang w:val="en-US" w:eastAsia="zh-CN"/>
        </w:rPr>
        <w:t>A/A/O活性污泥法</w:t>
      </w:r>
      <w:r>
        <w:rPr>
          <w:rFonts w:hint="eastAsia" w:ascii="仿宋_GB2312" w:hAnsi="宋体" w:eastAsia="仿宋_GB2312" w:cs="Times New Roman"/>
          <w:color w:val="auto"/>
          <w:sz w:val="32"/>
          <w:szCs w:val="32"/>
          <w:lang w:val="en-US" w:eastAsia="zh-CN"/>
        </w:rPr>
        <w:t>”。</w:t>
      </w:r>
    </w:p>
    <w:p>
      <w:pPr>
        <w:numPr>
          <w:ilvl w:val="0"/>
          <w:numId w:val="0"/>
        </w:numPr>
        <w:spacing w:line="360" w:lineRule="auto"/>
        <w:ind w:firstLine="640" w:firstLineChars="200"/>
        <w:rPr>
          <w:rFonts w:hint="eastAsia" w:ascii="仿宋_GB2312" w:hAnsi="宋体" w:eastAsia="仿宋_GB2312"/>
          <w:color w:val="auto"/>
          <w:sz w:val="32"/>
          <w:szCs w:val="32"/>
          <w:lang w:eastAsia="zh-CN"/>
        </w:rPr>
      </w:pPr>
      <w:r>
        <w:rPr>
          <w:rFonts w:hint="eastAsia" w:ascii="仿宋_GB2312" w:hAnsi="宋体" w:eastAsia="仿宋_GB2312"/>
          <w:color w:val="auto"/>
          <w:sz w:val="32"/>
          <w:szCs w:val="32"/>
          <w:lang w:eastAsia="zh-CN"/>
        </w:rPr>
        <w:t>本项目废水主要包括工艺废水、设备冲洗水、废气处理废水、实验室废水、循环冷却系统排水、真空泵排水、焚烧炉急冷系统排水、软化水排水、余热锅炉排水、焚烧炉烟气湿式洗涤塔排水、初期雨水、恶臭洗涤塔废水、生活污水。</w:t>
      </w:r>
    </w:p>
    <w:p>
      <w:pPr>
        <w:numPr>
          <w:ilvl w:val="0"/>
          <w:numId w:val="0"/>
        </w:numPr>
        <w:spacing w:line="360" w:lineRule="auto"/>
        <w:ind w:firstLine="640" w:firstLineChars="200"/>
        <w:rPr>
          <w:rFonts w:hint="eastAsia" w:ascii="仿宋_GB2312" w:hAnsi="宋体" w:eastAsia="仿宋_GB2312"/>
          <w:color w:val="auto"/>
          <w:sz w:val="32"/>
          <w:szCs w:val="32"/>
          <w:lang w:val="en-US" w:eastAsia="zh-CN"/>
        </w:rPr>
      </w:pPr>
      <w:r>
        <w:rPr>
          <w:rFonts w:hint="eastAsia" w:ascii="仿宋_GB2312" w:hAnsi="宋体" w:eastAsia="仿宋_GB2312"/>
          <w:color w:val="auto"/>
          <w:sz w:val="32"/>
          <w:szCs w:val="32"/>
          <w:lang w:val="en-US" w:eastAsia="zh-CN"/>
        </w:rPr>
        <w:t>PMC工段水解废水加入氧化钙中和后，送至焚烧炉焚烧；焚烧炉烟气湿式洗涤塔排水经MVR蒸发系统处理后，冷凝水送至综合污水处理系统进行处理，</w:t>
      </w:r>
      <w:r>
        <w:rPr>
          <w:rFonts w:hint="eastAsia" w:ascii="仿宋_GB2312" w:hAnsi="宋体" w:eastAsia="仿宋_GB2312" w:cs="Times New Roman"/>
          <w:color w:val="auto"/>
          <w:sz w:val="32"/>
          <w:szCs w:val="32"/>
          <w:lang w:val="en-US" w:eastAsia="zh-CN"/>
        </w:rPr>
        <w:t>蒸发出来的盐和母</w:t>
      </w:r>
      <w:r>
        <w:rPr>
          <w:rFonts w:hint="eastAsia" w:ascii="仿宋_GB2312" w:hAnsi="宋体" w:eastAsia="仿宋_GB2312"/>
          <w:color w:val="auto"/>
          <w:sz w:val="32"/>
          <w:szCs w:val="32"/>
          <w:lang w:val="en-US" w:eastAsia="zh-CN"/>
        </w:rPr>
        <w:t>液由焚烧炉焚烧；设备清洗水为危险废物，暂存于危废仓库，定期送至焚烧炉焚烧；副产品煤沥青工段脱水废水、实验室废水、冷却系统废水、真空泵排水、废气吸收液、焚烧炉急冷系统排水、软化水排水、余热锅炉排水、污泥干化臭气洗涤塔废水、初期雨水、生活污水统一排入厂区内综合污水处理系统进行处理；</w:t>
      </w:r>
      <w:r>
        <w:rPr>
          <w:rFonts w:hint="default" w:ascii="仿宋_GB2312" w:hAnsi="宋体" w:eastAsia="仿宋_GB2312" w:cs="Times New Roman"/>
          <w:color w:val="auto"/>
          <w:sz w:val="32"/>
          <w:szCs w:val="32"/>
          <w:lang w:val="en-US" w:eastAsia="zh-CN"/>
        </w:rPr>
        <w:t>达标后</w:t>
      </w:r>
      <w:r>
        <w:rPr>
          <w:rFonts w:hint="eastAsia" w:ascii="仿宋_GB2312" w:hAnsi="宋体" w:eastAsia="仿宋_GB2312" w:cs="Times New Roman"/>
          <w:color w:val="auto"/>
          <w:sz w:val="32"/>
          <w:szCs w:val="32"/>
          <w:lang w:val="en-US" w:eastAsia="zh-CN"/>
        </w:rPr>
        <w:t>排入园区污水管网；项目产生的食堂废水、生活废水经隔油池、化粪池处理后与厂区污水处理系统处理后废水一起排入园区污水管网，确保</w:t>
      </w:r>
      <w:r>
        <w:rPr>
          <w:rFonts w:hint="eastAsia" w:ascii="仿宋_GB2312" w:hAnsi="宋体" w:eastAsia="仿宋_GB2312"/>
          <w:sz w:val="32"/>
          <w:szCs w:val="32"/>
        </w:rPr>
        <w:t>厂区废水总排放口化学需氧量、氨氮</w:t>
      </w:r>
      <w:r>
        <w:rPr>
          <w:rFonts w:hint="eastAsia" w:ascii="仿宋_GB2312" w:hAnsi="宋体" w:eastAsia="仿宋_GB2312"/>
          <w:sz w:val="32"/>
          <w:szCs w:val="32"/>
          <w:lang w:eastAsia="zh-CN"/>
        </w:rPr>
        <w:t>、色度、悬浮物、五日生化需氧量、总氮、氯化物</w:t>
      </w:r>
      <w:r>
        <w:rPr>
          <w:rFonts w:hint="eastAsia" w:ascii="仿宋_GB2312" w:hAnsi="宋体" w:eastAsia="仿宋_GB2312"/>
          <w:sz w:val="32"/>
          <w:szCs w:val="32"/>
        </w:rPr>
        <w:t>等污染物的排放浓度满足《辽宁省污水综合排放标准》（DB 21/1627-2008）</w:t>
      </w:r>
      <w:r>
        <w:rPr>
          <w:rFonts w:hint="eastAsia" w:ascii="仿宋_GB2312" w:hAnsi="宋体" w:eastAsia="仿宋_GB2312"/>
          <w:sz w:val="32"/>
          <w:szCs w:val="32"/>
          <w:lang w:eastAsia="zh-CN"/>
        </w:rPr>
        <w:t>中</w:t>
      </w:r>
      <w:r>
        <w:rPr>
          <w:rFonts w:hint="eastAsia" w:ascii="仿宋_GB2312" w:hAnsi="宋体" w:eastAsia="仿宋_GB2312"/>
          <w:sz w:val="32"/>
          <w:szCs w:val="32"/>
        </w:rPr>
        <w:t>表2排入污水处理厂最高允许浓度限值</w:t>
      </w:r>
      <w:r>
        <w:rPr>
          <w:rFonts w:hint="eastAsia" w:ascii="仿宋_GB2312" w:hAnsi="宋体" w:eastAsia="仿宋_GB2312"/>
          <w:sz w:val="32"/>
          <w:szCs w:val="32"/>
          <w:lang w:eastAsia="zh-CN"/>
        </w:rPr>
        <w:t>，</w:t>
      </w:r>
      <w:r>
        <w:rPr>
          <w:rFonts w:hint="default" w:ascii="仿宋_GB2312" w:hAnsi="宋体" w:eastAsia="仿宋_GB2312" w:cs="Times New Roman"/>
          <w:color w:val="auto"/>
          <w:sz w:val="32"/>
          <w:szCs w:val="32"/>
          <w:lang w:val="en-US" w:eastAsia="zh-CN"/>
        </w:rPr>
        <w:t>pH</w:t>
      </w:r>
      <w:r>
        <w:rPr>
          <w:rFonts w:hint="eastAsia" w:ascii="仿宋_GB2312" w:hAnsi="宋体" w:eastAsia="仿宋_GB2312" w:cs="Times New Roman"/>
          <w:color w:val="auto"/>
          <w:sz w:val="32"/>
          <w:szCs w:val="32"/>
          <w:lang w:val="en-US" w:eastAsia="zh-CN"/>
        </w:rPr>
        <w:t>、元素磷满足</w:t>
      </w:r>
      <w:r>
        <w:rPr>
          <w:rFonts w:hint="default" w:ascii="仿宋_GB2312" w:hAnsi="宋体" w:eastAsia="仿宋_GB2312" w:cs="Times New Roman"/>
          <w:color w:val="auto"/>
          <w:sz w:val="32"/>
          <w:szCs w:val="32"/>
          <w:lang w:val="en-US" w:eastAsia="zh-CN"/>
        </w:rPr>
        <w:t>《污水综合排放标准》（GB8978-1996）</w:t>
      </w:r>
      <w:r>
        <w:rPr>
          <w:rFonts w:hint="eastAsia" w:ascii="仿宋_GB2312" w:hAnsi="宋体" w:eastAsia="仿宋_GB2312" w:cs="Times New Roman"/>
          <w:color w:val="auto"/>
          <w:sz w:val="32"/>
          <w:szCs w:val="32"/>
          <w:lang w:val="en-US" w:eastAsia="zh-CN"/>
        </w:rPr>
        <w:t>中标准限值要求，</w:t>
      </w:r>
      <w:r>
        <w:rPr>
          <w:rFonts w:hint="default" w:ascii="仿宋_GB2312" w:hAnsi="宋体" w:eastAsia="仿宋_GB2312" w:cs="Times New Roman"/>
          <w:color w:val="auto"/>
          <w:sz w:val="32"/>
          <w:szCs w:val="32"/>
          <w:lang w:val="en-US" w:eastAsia="zh-CN"/>
        </w:rPr>
        <w:t>2-氯-5-氯甲基吡啶</w:t>
      </w:r>
      <w:r>
        <w:rPr>
          <w:rFonts w:hint="eastAsia" w:ascii="仿宋_GB2312" w:hAnsi="宋体" w:eastAsia="仿宋_GB2312" w:cs="Times New Roman"/>
          <w:color w:val="auto"/>
          <w:sz w:val="32"/>
          <w:szCs w:val="32"/>
          <w:lang w:val="en-US" w:eastAsia="zh-CN"/>
        </w:rPr>
        <w:t>满足</w:t>
      </w:r>
      <w:r>
        <w:rPr>
          <w:rFonts w:hint="default" w:ascii="仿宋_GB2312" w:hAnsi="宋体" w:eastAsia="仿宋_GB2312" w:cs="Times New Roman"/>
          <w:color w:val="auto"/>
          <w:sz w:val="32"/>
          <w:szCs w:val="32"/>
          <w:lang w:val="en-US" w:eastAsia="zh-CN"/>
        </w:rPr>
        <w:t>《杂环类农药工业水污染物排放标准》（GB21523-2008）</w:t>
      </w:r>
      <w:r>
        <w:rPr>
          <w:rFonts w:hint="eastAsia" w:ascii="仿宋_GB2312" w:hAnsi="宋体" w:eastAsia="仿宋_GB2312" w:cs="Times New Roman"/>
          <w:color w:val="auto"/>
          <w:sz w:val="32"/>
          <w:szCs w:val="32"/>
          <w:lang w:val="en-US" w:eastAsia="zh-CN"/>
        </w:rPr>
        <w:t>中标准限值要求。</w:t>
      </w:r>
    </w:p>
    <w:p>
      <w:pPr>
        <w:spacing w:line="360" w:lineRule="auto"/>
        <w:ind w:left="199" w:leftChars="95" w:firstLine="640" w:firstLineChars="200"/>
        <w:rPr>
          <w:rFonts w:hint="eastAsia" w:ascii="仿宋_GB2312" w:hAnsi="宋体" w:eastAsia="仿宋_GB2312" w:cs="Times New Roman"/>
          <w:color w:val="auto"/>
          <w:sz w:val="32"/>
          <w:szCs w:val="32"/>
          <w:lang w:val="en-US" w:eastAsia="zh-CN"/>
        </w:rPr>
      </w:pPr>
      <w:r>
        <w:rPr>
          <w:rFonts w:hint="eastAsia" w:ascii="仿宋_GB2312" w:hAnsi="仿宋_GB2312" w:eastAsia="仿宋_GB2312" w:cs="仿宋_GB2312"/>
          <w:sz w:val="32"/>
          <w:szCs w:val="32"/>
          <w:lang w:val="en-US" w:eastAsia="zh-CN"/>
        </w:rPr>
        <w:t>4、</w:t>
      </w:r>
      <w:r>
        <w:rPr>
          <w:rFonts w:hint="default" w:ascii="仿宋_GB2312" w:hAnsi="仿宋_GB2312" w:eastAsia="仿宋_GB2312" w:cs="仿宋_GB2312"/>
          <w:sz w:val="32"/>
          <w:szCs w:val="32"/>
        </w:rPr>
        <w:t>本项目主要</w:t>
      </w:r>
      <w:r>
        <w:rPr>
          <w:rFonts w:hint="eastAsia" w:ascii="仿宋_GB2312" w:hAnsi="仿宋_GB2312" w:eastAsia="仿宋_GB2312" w:cs="仿宋_GB2312"/>
          <w:sz w:val="32"/>
          <w:szCs w:val="32"/>
          <w:lang w:eastAsia="zh-CN"/>
        </w:rPr>
        <w:t>固体废物有</w:t>
      </w:r>
      <w:r>
        <w:rPr>
          <w:rFonts w:hint="default" w:ascii="仿宋_GB2312" w:hAnsi="仿宋_GB2312" w:eastAsia="仿宋_GB2312" w:cs="仿宋_GB2312"/>
          <w:sz w:val="32"/>
          <w:szCs w:val="32"/>
        </w:rPr>
        <w:t>废分子筛</w:t>
      </w:r>
      <w:r>
        <w:rPr>
          <w:rFonts w:hint="eastAsia" w:ascii="仿宋_GB2312" w:hAnsi="仿宋_GB2312" w:eastAsia="仿宋_GB2312" w:cs="仿宋_GB2312"/>
          <w:sz w:val="32"/>
          <w:szCs w:val="32"/>
          <w:lang w:eastAsia="zh-CN"/>
        </w:rPr>
        <w:t>、</w:t>
      </w:r>
      <w:r>
        <w:rPr>
          <w:rFonts w:hint="default" w:ascii="仿宋_GB2312" w:hAnsi="仿宋_GB2312" w:eastAsia="仿宋_GB2312" w:cs="仿宋_GB2312"/>
          <w:sz w:val="32"/>
          <w:szCs w:val="32"/>
        </w:rPr>
        <w:t>裂解釜残、蒸馏釜残、盐渣、</w:t>
      </w:r>
      <w:r>
        <w:rPr>
          <w:rFonts w:hint="eastAsia" w:ascii="仿宋_GB2312" w:hAnsi="仿宋_GB2312" w:eastAsia="仿宋_GB2312" w:cs="仿宋_GB2312"/>
          <w:sz w:val="32"/>
          <w:szCs w:val="32"/>
          <w:lang w:eastAsia="zh-CN"/>
        </w:rPr>
        <w:t>水解废水、啶虫脒母液、</w:t>
      </w:r>
      <w:r>
        <w:rPr>
          <w:rFonts w:hint="default" w:ascii="仿宋_GB2312" w:hAnsi="仿宋_GB2312" w:eastAsia="仿宋_GB2312" w:cs="仿宋_GB2312"/>
          <w:sz w:val="32"/>
          <w:szCs w:val="32"/>
        </w:rPr>
        <w:t>废活性炭</w:t>
      </w:r>
      <w:r>
        <w:rPr>
          <w:rFonts w:hint="eastAsia" w:ascii="仿宋_GB2312" w:hAnsi="仿宋_GB2312" w:eastAsia="仿宋_GB2312" w:cs="仿宋_GB2312"/>
          <w:sz w:val="32"/>
          <w:szCs w:val="32"/>
          <w:lang w:eastAsia="zh-CN"/>
        </w:rPr>
        <w:t>、中和</w:t>
      </w:r>
      <w:r>
        <w:rPr>
          <w:rFonts w:hint="default" w:ascii="仿宋_GB2312" w:hAnsi="仿宋_GB2312" w:eastAsia="仿宋_GB2312" w:cs="仿宋_GB2312"/>
          <w:sz w:val="32"/>
          <w:szCs w:val="32"/>
        </w:rPr>
        <w:t>盐渣、母液、</w:t>
      </w:r>
      <w:r>
        <w:rPr>
          <w:rFonts w:hint="eastAsia" w:ascii="仿宋_GB2312" w:hAnsi="宋体" w:eastAsia="仿宋_GB2312"/>
          <w:color w:val="auto"/>
          <w:sz w:val="32"/>
          <w:szCs w:val="32"/>
          <w:lang w:val="en-US" w:eastAsia="zh-CN"/>
        </w:rPr>
        <w:t>MVR系统处理蒸出的盐渣、</w:t>
      </w:r>
      <w:r>
        <w:rPr>
          <w:rFonts w:hint="eastAsia" w:ascii="仿宋_GB2312" w:hAnsi="仿宋_GB2312" w:eastAsia="仿宋_GB2312" w:cs="仿宋_GB2312"/>
          <w:sz w:val="32"/>
          <w:szCs w:val="32"/>
          <w:lang w:eastAsia="zh-CN"/>
        </w:rPr>
        <w:t>干化后的污泥、</w:t>
      </w:r>
      <w:r>
        <w:rPr>
          <w:rFonts w:hint="default" w:ascii="仿宋_GB2312" w:hAnsi="仿宋_GB2312" w:eastAsia="仿宋_GB2312" w:cs="仿宋_GB2312"/>
          <w:sz w:val="32"/>
          <w:szCs w:val="32"/>
        </w:rPr>
        <w:t>原料包装物、废导热油</w:t>
      </w:r>
      <w:r>
        <w:rPr>
          <w:rFonts w:hint="eastAsia" w:ascii="仿宋_GB2312" w:hAnsi="仿宋_GB2312" w:eastAsia="仿宋_GB2312" w:cs="仿宋_GB2312"/>
          <w:sz w:val="32"/>
          <w:szCs w:val="32"/>
          <w:lang w:eastAsia="zh-CN"/>
        </w:rPr>
        <w:t>、设备清洗废水、</w:t>
      </w:r>
      <w:r>
        <w:rPr>
          <w:rFonts w:hint="default" w:ascii="仿宋_GB2312" w:hAnsi="仿宋_GB2312" w:eastAsia="仿宋_GB2312" w:cs="仿宋_GB2312"/>
          <w:sz w:val="32"/>
          <w:szCs w:val="32"/>
        </w:rPr>
        <w:t>残渣</w:t>
      </w:r>
      <w:r>
        <w:rPr>
          <w:rFonts w:hint="eastAsia" w:ascii="仿宋_GB2312" w:hAnsi="仿宋_GB2312" w:eastAsia="仿宋_GB2312" w:cs="仿宋_GB2312"/>
          <w:sz w:val="32"/>
          <w:szCs w:val="32"/>
          <w:lang w:eastAsia="zh-CN"/>
        </w:rPr>
        <w:t>、</w:t>
      </w:r>
      <w:r>
        <w:rPr>
          <w:rFonts w:hint="default" w:ascii="仿宋_GB2312" w:hAnsi="仿宋_GB2312" w:eastAsia="仿宋_GB2312" w:cs="仿宋_GB2312"/>
          <w:sz w:val="32"/>
          <w:szCs w:val="32"/>
        </w:rPr>
        <w:t>飞灰</w:t>
      </w:r>
      <w:r>
        <w:rPr>
          <w:rFonts w:hint="eastAsia" w:ascii="仿宋_GB2312" w:hAnsi="仿宋_GB2312" w:eastAsia="仿宋_GB2312" w:cs="仿宋_GB2312"/>
          <w:sz w:val="32"/>
          <w:szCs w:val="32"/>
          <w:lang w:eastAsia="zh-CN"/>
        </w:rPr>
        <w:t>、</w:t>
      </w:r>
      <w:r>
        <w:rPr>
          <w:rFonts w:hint="default" w:ascii="仿宋_GB2312" w:hAnsi="仿宋_GB2312" w:eastAsia="仿宋_GB2312" w:cs="仿宋_GB2312"/>
          <w:sz w:val="32"/>
          <w:szCs w:val="32"/>
        </w:rPr>
        <w:t>废催化剂</w:t>
      </w:r>
      <w:r>
        <w:rPr>
          <w:rFonts w:hint="eastAsia" w:ascii="仿宋_GB2312" w:hAnsi="仿宋_GB2312" w:eastAsia="仿宋_GB2312" w:cs="仿宋_GB2312"/>
          <w:sz w:val="32"/>
          <w:szCs w:val="32"/>
          <w:lang w:eastAsia="zh-CN"/>
        </w:rPr>
        <w:t>和</w:t>
      </w:r>
      <w:r>
        <w:rPr>
          <w:rFonts w:hint="default" w:ascii="仿宋_GB2312" w:hAnsi="仿宋_GB2312" w:eastAsia="仿宋_GB2312" w:cs="仿宋_GB2312"/>
          <w:sz w:val="32"/>
          <w:szCs w:val="32"/>
        </w:rPr>
        <w:t>生活垃圾</w:t>
      </w:r>
      <w:r>
        <w:rPr>
          <w:rFonts w:hint="eastAsia" w:ascii="仿宋_GB2312" w:hAnsi="仿宋_GB2312" w:eastAsia="仿宋_GB2312" w:cs="仿宋_GB2312"/>
          <w:sz w:val="32"/>
          <w:szCs w:val="32"/>
          <w:lang w:eastAsia="zh-CN"/>
        </w:rPr>
        <w:t>。</w:t>
      </w:r>
      <w:r>
        <w:rPr>
          <w:rFonts w:hint="eastAsia" w:ascii="仿宋_GB2312" w:hAnsi="宋体" w:eastAsia="仿宋_GB2312"/>
          <w:color w:val="auto"/>
          <w:sz w:val="32"/>
          <w:szCs w:val="32"/>
          <w:lang w:val="en-US" w:eastAsia="zh-CN"/>
        </w:rPr>
        <w:t>废分子筛属于一般固废，外售处理；NC工段的裂解釜残、PMC工段粗产品精馏釜残、啶虫脒废母液、设备清洗废液、废包装物、废导热油、废活性炭、MVR系统处理蒸出的盐渣、母液、干化后污泥、中和盐渣等危险废物暂存于危废仓库，定期送至焚烧炉焚烧；危险废物残渣、飞灰，由密封式专用车送至有资质的单位填埋处理；废催化剂委托有资质的单位进行处理；</w:t>
      </w:r>
      <w:r>
        <w:rPr>
          <w:rFonts w:hint="eastAsia" w:ascii="仿宋_GB2312" w:hAnsi="宋体" w:eastAsia="仿宋_GB2312"/>
          <w:color w:val="auto"/>
          <w:sz w:val="32"/>
          <w:szCs w:val="32"/>
          <w:lang w:eastAsia="zh-CN"/>
        </w:rPr>
        <w:t>危险废物收集、暂存和转运必须符合《危险废物贮存污染控制标准》（</w:t>
      </w:r>
      <w:r>
        <w:rPr>
          <w:rFonts w:hint="eastAsia" w:ascii="仿宋_GB2312" w:hAnsi="宋体" w:eastAsia="仿宋_GB2312"/>
          <w:color w:val="auto"/>
          <w:sz w:val="32"/>
          <w:szCs w:val="32"/>
          <w:lang w:val="en-US" w:eastAsia="zh-CN"/>
        </w:rPr>
        <w:t>GB 18597-2001</w:t>
      </w:r>
      <w:r>
        <w:rPr>
          <w:rFonts w:hint="eastAsia" w:ascii="仿宋_GB2312" w:hAnsi="宋体" w:eastAsia="仿宋_GB2312"/>
          <w:color w:val="auto"/>
          <w:sz w:val="32"/>
          <w:szCs w:val="32"/>
          <w:lang w:eastAsia="zh-CN"/>
        </w:rPr>
        <w:t>）的规定；一甲胺盐酸盐</w:t>
      </w:r>
      <w:r>
        <w:rPr>
          <w:rFonts w:hint="eastAsia" w:ascii="仿宋_GB2312" w:hAnsi="宋体" w:eastAsia="仿宋_GB2312" w:cs="Times New Roman"/>
          <w:color w:val="auto"/>
          <w:sz w:val="32"/>
          <w:szCs w:val="32"/>
          <w:lang w:val="en-US" w:eastAsia="zh-CN"/>
        </w:rPr>
        <w:t>按</w:t>
      </w:r>
      <w:r>
        <w:rPr>
          <w:rFonts w:hint="default" w:ascii="仿宋_GB2312" w:hAnsi="宋体" w:eastAsia="仿宋_GB2312" w:cs="Times New Roman"/>
          <w:color w:val="auto"/>
          <w:sz w:val="32"/>
          <w:szCs w:val="32"/>
          <w:lang w:val="en-US" w:eastAsia="zh-CN"/>
        </w:rPr>
        <w:t>《固体废物鉴别标准通则》（GB 34330-2017）</w:t>
      </w:r>
      <w:r>
        <w:rPr>
          <w:rFonts w:hint="eastAsia" w:ascii="仿宋_GB2312" w:hAnsi="宋体" w:eastAsia="仿宋_GB2312" w:cs="Times New Roman"/>
          <w:color w:val="auto"/>
          <w:sz w:val="32"/>
          <w:szCs w:val="32"/>
          <w:lang w:val="en-US" w:eastAsia="zh-CN"/>
        </w:rPr>
        <w:t>、《危险废物鉴别技术规范》（HJ/T298-2007）、《危险废物鉴别标准》（GB5085.1-2007）做鉴别，鉴别认定其不是危险废物后，方可按副产品出售；生活垃圾委托环卫部门统一清运处理。</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outlineLvl w:val="9"/>
        <w:rPr>
          <w:rFonts w:hint="eastAsia" w:ascii="仿宋_GB2312" w:hAnsi="宋体" w:eastAsia="仿宋_GB2312"/>
          <w:sz w:val="32"/>
          <w:szCs w:val="32"/>
        </w:rPr>
      </w:pPr>
      <w:r>
        <w:rPr>
          <w:rFonts w:hint="eastAsia" w:ascii="仿宋_GB2312" w:hAnsi="宋体" w:eastAsia="仿宋_GB2312"/>
          <w:sz w:val="32"/>
          <w:szCs w:val="32"/>
          <w:lang w:val="en-US" w:eastAsia="zh-CN"/>
        </w:rPr>
        <w:t>5、本</w:t>
      </w:r>
      <w:r>
        <w:rPr>
          <w:rFonts w:hint="eastAsia" w:ascii="仿宋_GB2312" w:hAnsi="宋体" w:eastAsia="仿宋_GB2312"/>
          <w:sz w:val="32"/>
          <w:szCs w:val="32"/>
        </w:rPr>
        <w:t>项目选用低噪声设备，并合理布局，确保厂界四周噪声满足《工业企业厂界环境噪声排放标准》（GB 12348-2008）中3类标准限值要求。</w:t>
      </w:r>
    </w:p>
    <w:p>
      <w:pPr>
        <w:spacing w:line="360" w:lineRule="auto"/>
        <w:ind w:firstLine="646"/>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w:t>
      </w:r>
      <w:r>
        <w:rPr>
          <w:rFonts w:hint="default" w:ascii="仿宋_GB2312" w:hAnsi="仿宋_GB2312" w:eastAsia="仿宋_GB2312" w:cs="仿宋_GB2312"/>
          <w:sz w:val="32"/>
          <w:szCs w:val="32"/>
        </w:rPr>
        <w:t>罐区的卫生防护距离为</w:t>
      </w:r>
      <w:r>
        <w:rPr>
          <w:rFonts w:hint="eastAsia" w:ascii="仿宋_GB2312" w:hAnsi="仿宋_GB2312" w:eastAsia="仿宋_GB2312" w:cs="仿宋_GB2312"/>
          <w:sz w:val="32"/>
          <w:szCs w:val="32"/>
          <w:lang w:val="en-US" w:eastAsia="zh-CN"/>
        </w:rPr>
        <w:t>1</w:t>
      </w:r>
      <w:r>
        <w:rPr>
          <w:rFonts w:hint="default" w:ascii="仿宋_GB2312" w:hAnsi="仿宋_GB2312" w:eastAsia="仿宋_GB2312" w:cs="仿宋_GB2312"/>
          <w:sz w:val="32"/>
          <w:szCs w:val="32"/>
        </w:rPr>
        <w:t>00m</w:t>
      </w:r>
      <w:r>
        <w:rPr>
          <w:rFonts w:hint="eastAsia" w:ascii="仿宋_GB2312" w:hAnsi="仿宋_GB2312" w:eastAsia="仿宋_GB2312" w:cs="仿宋_GB2312"/>
          <w:sz w:val="32"/>
          <w:szCs w:val="32"/>
          <w:lang w:eastAsia="zh-CN"/>
        </w:rPr>
        <w:t>；</w:t>
      </w:r>
      <w:r>
        <w:rPr>
          <w:rFonts w:hint="default" w:ascii="仿宋_GB2312" w:hAnsi="仿宋_GB2312" w:eastAsia="仿宋_GB2312" w:cs="仿宋_GB2312"/>
          <w:sz w:val="32"/>
          <w:szCs w:val="32"/>
        </w:rPr>
        <w:t>生产一车间的卫生防护距离50m</w:t>
      </w:r>
      <w:r>
        <w:rPr>
          <w:rFonts w:hint="eastAsia" w:ascii="仿宋_GB2312" w:hAnsi="仿宋_GB2312" w:eastAsia="仿宋_GB2312" w:cs="仿宋_GB2312"/>
          <w:sz w:val="32"/>
          <w:szCs w:val="32"/>
          <w:lang w:eastAsia="zh-CN"/>
        </w:rPr>
        <w:t>；</w:t>
      </w:r>
      <w:r>
        <w:rPr>
          <w:rFonts w:hint="default" w:ascii="仿宋_GB2312" w:hAnsi="仿宋_GB2312" w:eastAsia="仿宋_GB2312" w:cs="仿宋_GB2312"/>
          <w:sz w:val="32"/>
          <w:szCs w:val="32"/>
        </w:rPr>
        <w:t>生产二车间的卫生防护距离100m</w:t>
      </w:r>
      <w:r>
        <w:rPr>
          <w:rFonts w:hint="eastAsia" w:ascii="仿宋_GB2312" w:hAnsi="仿宋_GB2312" w:eastAsia="仿宋_GB2312" w:cs="仿宋_GB2312"/>
          <w:sz w:val="32"/>
          <w:szCs w:val="32"/>
          <w:lang w:eastAsia="zh-CN"/>
        </w:rPr>
        <w:t>；</w:t>
      </w:r>
      <w:r>
        <w:rPr>
          <w:rFonts w:hint="default" w:ascii="仿宋_GB2312" w:hAnsi="仿宋_GB2312" w:eastAsia="仿宋_GB2312" w:cs="仿宋_GB2312"/>
          <w:sz w:val="32"/>
          <w:szCs w:val="32"/>
        </w:rPr>
        <w:t>生产三车间的卫生防护距离100m</w:t>
      </w:r>
      <w:r>
        <w:rPr>
          <w:rFonts w:hint="eastAsia" w:ascii="仿宋_GB2312" w:hAnsi="仿宋_GB2312" w:eastAsia="仿宋_GB2312" w:cs="仿宋_GB2312"/>
          <w:sz w:val="32"/>
          <w:szCs w:val="32"/>
          <w:lang w:eastAsia="zh-CN"/>
        </w:rPr>
        <w:t>；</w:t>
      </w:r>
      <w:r>
        <w:rPr>
          <w:rFonts w:hint="default" w:ascii="仿宋_GB2312" w:hAnsi="仿宋_GB2312" w:eastAsia="仿宋_GB2312" w:cs="仿宋_GB2312"/>
          <w:sz w:val="32"/>
          <w:szCs w:val="32"/>
        </w:rPr>
        <w:t>污水处理站的卫生防护距离为100m</w:t>
      </w:r>
      <w:r>
        <w:rPr>
          <w:rFonts w:hint="eastAsia" w:ascii="仿宋_GB2312" w:hAnsi="仿宋_GB2312" w:eastAsia="仿宋_GB2312" w:cs="仿宋_GB2312"/>
          <w:sz w:val="32"/>
          <w:szCs w:val="32"/>
          <w:lang w:eastAsia="zh-CN"/>
        </w:rPr>
        <w:t>；</w:t>
      </w:r>
      <w:r>
        <w:rPr>
          <w:rFonts w:hint="default" w:ascii="仿宋_GB2312" w:hAnsi="仿宋_GB2312" w:eastAsia="仿宋_GB2312" w:cs="仿宋_GB2312"/>
          <w:sz w:val="32"/>
          <w:szCs w:val="32"/>
          <w:lang w:val="en-US" w:eastAsia="zh-CN"/>
        </w:rPr>
        <w:t>污泥干化间</w:t>
      </w:r>
      <w:r>
        <w:rPr>
          <w:rFonts w:hint="default" w:ascii="仿宋_GB2312" w:hAnsi="仿宋_GB2312" w:eastAsia="仿宋_GB2312" w:cs="仿宋_GB2312"/>
          <w:sz w:val="32"/>
          <w:szCs w:val="32"/>
        </w:rPr>
        <w:t>的卫生防护距离为</w:t>
      </w:r>
      <w:r>
        <w:rPr>
          <w:rFonts w:hint="default" w:ascii="仿宋_GB2312" w:hAnsi="仿宋_GB2312" w:eastAsia="仿宋_GB2312" w:cs="仿宋_GB2312"/>
          <w:sz w:val="32"/>
          <w:szCs w:val="32"/>
          <w:lang w:val="en-US" w:eastAsia="zh-CN"/>
        </w:rPr>
        <w:t>200</w:t>
      </w:r>
      <w:r>
        <w:rPr>
          <w:rFonts w:hint="default" w:ascii="仿宋_GB2312" w:hAnsi="仿宋_GB2312" w:eastAsia="仿宋_GB2312" w:cs="仿宋_GB2312"/>
          <w:sz w:val="32"/>
          <w:szCs w:val="32"/>
        </w:rPr>
        <w:t>m</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卫生防护距离内</w:t>
      </w:r>
      <w:r>
        <w:rPr>
          <w:rFonts w:hint="eastAsia" w:ascii="仿宋_GB2312" w:hAnsi="仿宋_GB2312" w:eastAsia="仿宋_GB2312" w:cs="仿宋_GB2312"/>
          <w:sz w:val="32"/>
          <w:szCs w:val="32"/>
          <w:lang w:eastAsia="zh-CN"/>
        </w:rPr>
        <w:t>禁止新建居住、学校、医院等环境敏感目标。</w:t>
      </w:r>
    </w:p>
    <w:p>
      <w:pPr>
        <w:spacing w:line="360" w:lineRule="auto"/>
        <w:ind w:firstLine="646"/>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7、你公司须严格落实“报告书”提出的环境监测计划，所有监测数据需存档备案，一旦出现超标排放现象，你公司应立即停止项目生产并进行整改，应确保稳定达标排放后，方可恢复生产。</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你公司应加强环境风险管理工作，认真落实“报告书”提出的事故风险防范措施。针对本项目制定突发环境事件应急预案并报送环保部门备案。</w:t>
      </w:r>
    </w:p>
    <w:p>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宋体" w:eastAsia="仿宋_GB2312"/>
          <w:sz w:val="32"/>
          <w:szCs w:val="32"/>
        </w:rPr>
      </w:pPr>
      <w:r>
        <w:rPr>
          <w:rFonts w:hint="eastAsia" w:ascii="仿宋_GB2312" w:hAnsi="宋体" w:eastAsia="仿宋_GB2312"/>
          <w:sz w:val="32"/>
          <w:szCs w:val="32"/>
          <w:lang w:val="en-US" w:eastAsia="zh-CN"/>
        </w:rPr>
        <w:t>9、</w:t>
      </w:r>
      <w:r>
        <w:rPr>
          <w:rFonts w:hint="eastAsia" w:ascii="仿宋_GB2312" w:hAnsi="宋体" w:eastAsia="仿宋_GB2312"/>
          <w:sz w:val="32"/>
          <w:szCs w:val="32"/>
        </w:rPr>
        <w:t>按照《营口市排放口规范化整治验收标准》的有关要求，统一对厂区排污口进行规范化管理，并设置标志牌。</w:t>
      </w:r>
    </w:p>
    <w:p>
      <w:pPr>
        <w:ind w:firstLine="646"/>
        <w:rPr>
          <w:rFonts w:hint="eastAsia" w:ascii="仿宋_GB2312" w:hAnsi="宋体" w:eastAsia="仿宋_GB2312"/>
          <w:bCs/>
          <w:sz w:val="32"/>
          <w:szCs w:val="32"/>
        </w:rPr>
      </w:pPr>
      <w:r>
        <w:rPr>
          <w:rFonts w:hint="eastAsia" w:ascii="仿宋_GB2312" w:hAnsi="宋体" w:eastAsia="仿宋_GB2312"/>
          <w:bCs/>
          <w:sz w:val="32"/>
          <w:szCs w:val="32"/>
        </w:rPr>
        <w:t>三、建设项目须严格执行配套建设的环境保护设施与主体工程同时设计、同时施工、同时投产使用的环境保护“三同时”制度。项目竣工后，建设单位必须按照规定程序申请环境保护设施竣工验收，验收合格后方可正式生产。</w:t>
      </w:r>
    </w:p>
    <w:p>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宋体" w:eastAsia="仿宋_GB2312"/>
          <w:sz w:val="32"/>
          <w:szCs w:val="32"/>
        </w:rPr>
      </w:pPr>
      <w:r>
        <w:rPr>
          <w:rFonts w:hint="eastAsia" w:ascii="仿宋_GB2312" w:hAnsi="宋体" w:eastAsia="仿宋_GB2312"/>
          <w:sz w:val="32"/>
          <w:szCs w:val="32"/>
        </w:rPr>
        <w:t>四、本项目性质、规模、地点、生产工艺及污染防治措施等发生重大变更时，你公司须重新向具有审批权限的环境保护主管部门报批环境影响评价文件。</w:t>
      </w:r>
    </w:p>
    <w:p>
      <w:pPr>
        <w:ind w:firstLine="646"/>
        <w:rPr>
          <w:rFonts w:hint="eastAsia" w:ascii="仿宋_GB2312" w:hAnsi="宋体" w:eastAsia="仿宋_GB2312"/>
          <w:sz w:val="32"/>
          <w:szCs w:val="32"/>
          <w:lang w:eastAsia="zh-CN"/>
        </w:rPr>
      </w:pPr>
      <w:r>
        <w:rPr>
          <w:rFonts w:hint="eastAsia" w:ascii="仿宋_GB2312" w:hAnsi="宋体" w:eastAsia="仿宋_GB2312"/>
          <w:sz w:val="32"/>
          <w:szCs w:val="32"/>
          <w:lang w:eastAsia="zh-CN"/>
        </w:rPr>
        <w:t>五、若因本项目建设和生产过程中发生环境信访事件，你公司要配合当地政府予以妥善解决。</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center"/>
        <w:textAlignment w:val="auto"/>
        <w:outlineLvl w:val="9"/>
        <w:rPr>
          <w:rFonts w:hint="eastAsia" w:ascii="仿宋_GB2312" w:hAnsi="仿宋_GB2312" w:eastAsia="仿宋_GB2312" w:cs="仿宋_GB2312"/>
          <w:sz w:val="32"/>
          <w:szCs w:val="32"/>
          <w:vertAlign w:val="baseline"/>
          <w:lang w:val="en-US" w:eastAsia="zh-CN"/>
        </w:rPr>
      </w:pPr>
      <w:r>
        <w:rPr>
          <w:rFonts w:hint="eastAsia" w:ascii="仿宋_GB2312" w:hAnsi="宋体" w:eastAsia="仿宋_GB2312"/>
          <w:sz w:val="32"/>
          <w:szCs w:val="32"/>
          <w:lang w:val="en-US" w:eastAsia="zh-CN"/>
        </w:rPr>
        <w:t xml:space="preserve">                      </w:t>
      </w:r>
      <w:r>
        <w:rPr>
          <w:rFonts w:hint="eastAsia" w:ascii="仿宋_GB2312" w:hAnsi="宋体" w:eastAsia="仿宋_GB2312"/>
          <w:sz w:val="32"/>
          <w:szCs w:val="32"/>
        </w:rPr>
        <w:t>二〇一八年</w:t>
      </w:r>
      <w:r>
        <w:rPr>
          <w:rFonts w:hint="eastAsia" w:ascii="仿宋_GB2312" w:hAnsi="宋体" w:eastAsia="仿宋_GB2312"/>
          <w:sz w:val="32"/>
          <w:szCs w:val="32"/>
          <w:lang w:eastAsia="zh-CN"/>
        </w:rPr>
        <w:t>十二</w:t>
      </w:r>
      <w:r>
        <w:rPr>
          <w:rFonts w:hint="eastAsia" w:ascii="仿宋_GB2312" w:hAnsi="宋体" w:eastAsia="仿宋_GB2312"/>
          <w:sz w:val="32"/>
          <w:szCs w:val="32"/>
        </w:rPr>
        <w:t>月</w:t>
      </w:r>
      <w:r>
        <w:rPr>
          <w:rFonts w:hint="eastAsia" w:ascii="仿宋_GB2312" w:hAnsi="宋体" w:eastAsia="仿宋_GB2312"/>
          <w:sz w:val="32"/>
          <w:szCs w:val="32"/>
          <w:lang w:eastAsia="zh-CN"/>
        </w:rPr>
        <w:t>二十九</w:t>
      </w:r>
      <w:r>
        <w:rPr>
          <w:rFonts w:hint="eastAsia" w:ascii="仿宋_GB2312" w:hAnsi="宋体" w:eastAsia="仿宋_GB2312"/>
          <w:sz w:val="32"/>
          <w:szCs w:val="32"/>
        </w:rPr>
        <w:t>日</w:t>
      </w: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小标宋简体">
    <w:altName w:val="宋体"/>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69B4D07"/>
    <w:multiLevelType w:val="singleLevel"/>
    <w:tmpl w:val="D69B4D07"/>
    <w:lvl w:ilvl="0" w:tentative="0">
      <w:start w:val="3"/>
      <w:numFmt w:val="decimal"/>
      <w:suff w:val="nothing"/>
      <w:lvlText w:val="%1、"/>
      <w:lvlJc w:val="left"/>
    </w:lvl>
  </w:abstractNum>
  <w:abstractNum w:abstractNumId="1">
    <w:nsid w:val="2E10634C"/>
    <w:multiLevelType w:val="singleLevel"/>
    <w:tmpl w:val="2E10634C"/>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attachedTemplate r:id="rId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5A635C"/>
    <w:rsid w:val="02C777AF"/>
    <w:rsid w:val="03E53DC0"/>
    <w:rsid w:val="05991A6E"/>
    <w:rsid w:val="09207500"/>
    <w:rsid w:val="0936044B"/>
    <w:rsid w:val="10C70107"/>
    <w:rsid w:val="134C1051"/>
    <w:rsid w:val="15C70E35"/>
    <w:rsid w:val="18625D79"/>
    <w:rsid w:val="1A277DC7"/>
    <w:rsid w:val="1D811602"/>
    <w:rsid w:val="1E9A26E9"/>
    <w:rsid w:val="205F4D13"/>
    <w:rsid w:val="218A1F34"/>
    <w:rsid w:val="262379E9"/>
    <w:rsid w:val="27097C13"/>
    <w:rsid w:val="27963928"/>
    <w:rsid w:val="287F420B"/>
    <w:rsid w:val="28894261"/>
    <w:rsid w:val="2BE73D58"/>
    <w:rsid w:val="2C75581D"/>
    <w:rsid w:val="2E325585"/>
    <w:rsid w:val="2FF3751B"/>
    <w:rsid w:val="31163869"/>
    <w:rsid w:val="31812799"/>
    <w:rsid w:val="3203663F"/>
    <w:rsid w:val="335A635C"/>
    <w:rsid w:val="361877E6"/>
    <w:rsid w:val="372072C5"/>
    <w:rsid w:val="37827409"/>
    <w:rsid w:val="382766EF"/>
    <w:rsid w:val="3B570585"/>
    <w:rsid w:val="3B5C5240"/>
    <w:rsid w:val="3CDB12B3"/>
    <w:rsid w:val="3D9B4196"/>
    <w:rsid w:val="3E512425"/>
    <w:rsid w:val="3E606742"/>
    <w:rsid w:val="3FD07ECC"/>
    <w:rsid w:val="42F22E87"/>
    <w:rsid w:val="44E9576A"/>
    <w:rsid w:val="47320D0C"/>
    <w:rsid w:val="486638F7"/>
    <w:rsid w:val="4A5D33C5"/>
    <w:rsid w:val="4B390BF8"/>
    <w:rsid w:val="50A500A4"/>
    <w:rsid w:val="51F97CC2"/>
    <w:rsid w:val="52975D58"/>
    <w:rsid w:val="54BC65C7"/>
    <w:rsid w:val="57B07641"/>
    <w:rsid w:val="581E5E59"/>
    <w:rsid w:val="58B052F7"/>
    <w:rsid w:val="58DC7C0A"/>
    <w:rsid w:val="592D1B39"/>
    <w:rsid w:val="59563A40"/>
    <w:rsid w:val="59D74C3F"/>
    <w:rsid w:val="5B33341D"/>
    <w:rsid w:val="5DB72AAF"/>
    <w:rsid w:val="5DF31460"/>
    <w:rsid w:val="5F2A4820"/>
    <w:rsid w:val="5F827598"/>
    <w:rsid w:val="642E0DF9"/>
    <w:rsid w:val="669653D9"/>
    <w:rsid w:val="66A544B8"/>
    <w:rsid w:val="690C4DE7"/>
    <w:rsid w:val="69BF1C4F"/>
    <w:rsid w:val="6C926505"/>
    <w:rsid w:val="6CE07488"/>
    <w:rsid w:val="6D163703"/>
    <w:rsid w:val="6D535020"/>
    <w:rsid w:val="6DA06D79"/>
    <w:rsid w:val="70B53C02"/>
    <w:rsid w:val="71186177"/>
    <w:rsid w:val="72FA1809"/>
    <w:rsid w:val="7451673F"/>
    <w:rsid w:val="789007F5"/>
    <w:rsid w:val="78E35341"/>
    <w:rsid w:val="7A1403FC"/>
    <w:rsid w:val="7A2E3918"/>
    <w:rsid w:val="7D516A46"/>
    <w:rsid w:val="7E3B1AA1"/>
    <w:rsid w:val="7F5E12C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Application%20Data\Kingsoft\wps\addons\pool\win-i386\knewfileruby_1.0.0.12\template\wps\0"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37</TotalTime>
  <ScaleCrop>false</ScaleCrop>
  <LinksUpToDate>false</LinksUpToDate>
  <CharactersWithSpaces>0</CharactersWithSpaces>
  <Application>WPS Office_11.1.0.8214_F1E327BC-269C-435d-A152-05C5408002CA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2018-10-18T00:51:00Z</dcterms:created>
  <dc:creator>小毛嗑</dc:creator>
  <cp:lastModifiedBy>小毛嗑</cp:lastModifiedBy>
  <cp:lastPrinted>2018-11-05T01:04:00Z</cp:lastPrinted>
  <dcterms:modified xsi:type="dcterms:W3CDTF">2018-12-29T02:47:20Z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