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F179C">
      <w:pPr>
        <w:rPr>
          <w:rFonts w:hint="eastAsia" w:ascii="仿宋_GB2312" w:hAnsi="仿宋_GB2312" w:eastAsia="仿宋_GB2312" w:cs="仿宋_GB2312"/>
          <w:sz w:val="32"/>
          <w:szCs w:val="32"/>
        </w:rPr>
      </w:pPr>
    </w:p>
    <w:p w14:paraId="0038026A">
      <w:pPr>
        <w:rPr>
          <w:rFonts w:hint="eastAsia" w:ascii="仿宋_GB2312" w:hAnsi="仿宋_GB2312" w:eastAsia="仿宋_GB2312" w:cs="仿宋_GB2312"/>
          <w:sz w:val="32"/>
          <w:szCs w:val="32"/>
        </w:rPr>
      </w:pPr>
    </w:p>
    <w:p w14:paraId="27A4A066">
      <w:pPr>
        <w:rPr>
          <w:rFonts w:hint="eastAsia" w:ascii="仿宋_GB2312" w:hAnsi="仿宋_GB2312" w:eastAsia="仿宋_GB2312" w:cs="仿宋_GB2312"/>
          <w:sz w:val="32"/>
          <w:szCs w:val="32"/>
        </w:rPr>
      </w:pPr>
    </w:p>
    <w:p w14:paraId="5652C0A4">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辽营沿审批字〔</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14:paraId="0E8D174F">
      <w:pPr>
        <w:pStyle w:val="13"/>
        <w:rPr>
          <w:rFonts w:hint="eastAsia" w:ascii="仿宋" w:hAnsi="仿宋" w:eastAsia="仿宋" w:cs="仿宋"/>
          <w:sz w:val="32"/>
          <w:szCs w:val="32"/>
        </w:rPr>
      </w:pPr>
    </w:p>
    <w:p w14:paraId="7E82AD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sz w:val="32"/>
          <w:szCs w:val="32"/>
        </w:rPr>
      </w:pPr>
      <w:r>
        <w:rPr>
          <w:rFonts w:hint="eastAsia" w:ascii="方正小标宋简体" w:eastAsia="方正小标宋简体"/>
          <w:b/>
          <w:sz w:val="44"/>
          <w:szCs w:val="44"/>
        </w:rPr>
        <w:t>关于营口聚能石油化工有限公司油品调和加工存储项目环境影响报告表的批复</w:t>
      </w:r>
    </w:p>
    <w:p w14:paraId="21786DA2">
      <w:pPr>
        <w:pStyle w:val="13"/>
        <w:rPr>
          <w:rFonts w:hint="eastAsia" w:ascii="仿宋" w:hAnsi="仿宋" w:eastAsia="仿宋" w:cs="仿宋"/>
          <w:sz w:val="32"/>
          <w:szCs w:val="32"/>
        </w:rPr>
      </w:pPr>
    </w:p>
    <w:p w14:paraId="51BD63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营口聚能石油化工有限公司：</w:t>
      </w:r>
    </w:p>
    <w:p w14:paraId="405A4C9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你公司报送的《营口聚能石油化工有限公司油品调和加工存储项目环境影响报告表》（以下简称“报告表”）收悉，经</w:t>
      </w:r>
      <w:r>
        <w:rPr>
          <w:rFonts w:hint="eastAsia" w:ascii="仿宋" w:hAnsi="仿宋" w:eastAsia="仿宋" w:cs="仿宋"/>
          <w:sz w:val="32"/>
          <w:szCs w:val="32"/>
          <w:lang w:val="en-US" w:eastAsia="zh-CN"/>
        </w:rPr>
        <w:t>研究</w:t>
      </w:r>
      <w:r>
        <w:rPr>
          <w:rFonts w:hint="eastAsia" w:ascii="仿宋" w:hAnsi="仿宋" w:eastAsia="仿宋" w:cs="仿宋"/>
          <w:sz w:val="32"/>
          <w:szCs w:val="32"/>
        </w:rPr>
        <w:t>，现就该“报告表”批复如下：</w:t>
      </w:r>
    </w:p>
    <w:p w14:paraId="56646A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一、本项目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项目代码：2304-210893-04-01-639054</w:t>
      </w:r>
      <w:r>
        <w:rPr>
          <w:rFonts w:hint="eastAsia" w:ascii="仿宋" w:hAnsi="仿宋" w:eastAsia="仿宋" w:cs="仿宋"/>
          <w:sz w:val="32"/>
          <w:szCs w:val="32"/>
          <w:lang w:eastAsia="zh-CN"/>
        </w:rPr>
        <w:t>）</w:t>
      </w:r>
      <w:r>
        <w:rPr>
          <w:rFonts w:hint="eastAsia" w:ascii="仿宋" w:hAnsi="仿宋" w:eastAsia="仿宋" w:cs="仿宋"/>
          <w:sz w:val="32"/>
          <w:szCs w:val="32"/>
        </w:rPr>
        <w:t>为</w:t>
      </w:r>
      <w:r>
        <w:rPr>
          <w:rFonts w:hint="eastAsia" w:ascii="仿宋" w:hAnsi="仿宋" w:eastAsia="仿宋" w:cs="仿宋"/>
          <w:sz w:val="32"/>
          <w:szCs w:val="32"/>
          <w:lang w:eastAsia="zh-CN"/>
        </w:rPr>
        <w:t>新建</w:t>
      </w:r>
      <w:r>
        <w:rPr>
          <w:rFonts w:hint="eastAsia" w:ascii="仿宋" w:hAnsi="仿宋" w:eastAsia="仿宋" w:cs="仿宋"/>
          <w:sz w:val="32"/>
          <w:szCs w:val="32"/>
        </w:rPr>
        <w:t>项目，</w:t>
      </w:r>
      <w:r>
        <w:rPr>
          <w:rFonts w:hint="eastAsia" w:ascii="仿宋" w:hAnsi="仿宋" w:eastAsia="仿宋" w:cs="仿宋"/>
          <w:sz w:val="32"/>
          <w:szCs w:val="32"/>
          <w:lang w:eastAsia="zh-CN"/>
        </w:rPr>
        <w:t>位于辽宁（营口）沿海产业基地冶金化工重装备区，</w:t>
      </w:r>
      <w:r>
        <w:rPr>
          <w:rFonts w:hint="eastAsia" w:ascii="仿宋" w:hAnsi="仿宋" w:eastAsia="仿宋" w:cs="仿宋"/>
          <w:sz w:val="32"/>
          <w:szCs w:val="32"/>
        </w:rPr>
        <w:t>占地30015平方米，主要建设</w:t>
      </w:r>
      <w:r>
        <w:rPr>
          <w:rFonts w:hint="eastAsia" w:ascii="仿宋" w:hAnsi="仿宋" w:eastAsia="仿宋" w:cs="仿宋"/>
          <w:sz w:val="32"/>
          <w:szCs w:val="32"/>
          <w:lang w:val="en-US" w:eastAsia="zh-CN"/>
        </w:rPr>
        <w:t>调</w:t>
      </w:r>
      <w:r>
        <w:rPr>
          <w:rFonts w:hint="eastAsia" w:ascii="仿宋" w:hAnsi="仿宋" w:eastAsia="仿宋" w:cs="仿宋"/>
          <w:sz w:val="32"/>
          <w:szCs w:val="32"/>
        </w:rPr>
        <w:t>和加工生产线</w:t>
      </w:r>
      <w:r>
        <w:rPr>
          <w:rFonts w:hint="eastAsia" w:ascii="仿宋" w:hAnsi="仿宋" w:eastAsia="仿宋" w:cs="仿宋"/>
          <w:sz w:val="32"/>
          <w:szCs w:val="32"/>
          <w:lang w:eastAsia="zh-CN"/>
        </w:rPr>
        <w:t>、</w:t>
      </w:r>
      <w:r>
        <w:rPr>
          <w:rFonts w:hint="eastAsia" w:ascii="仿宋" w:hAnsi="仿宋" w:eastAsia="仿宋" w:cs="仿宋"/>
          <w:sz w:val="32"/>
          <w:szCs w:val="32"/>
        </w:rPr>
        <w:t>加工装卸生产线</w:t>
      </w:r>
      <w:r>
        <w:rPr>
          <w:rFonts w:hint="eastAsia" w:ascii="仿宋" w:hAnsi="仿宋" w:eastAsia="仿宋" w:cs="仿宋"/>
          <w:sz w:val="32"/>
          <w:szCs w:val="32"/>
          <w:lang w:eastAsia="zh-CN"/>
        </w:rPr>
        <w:t>、装车栈桥及</w:t>
      </w:r>
      <w:r>
        <w:rPr>
          <w:rFonts w:hint="eastAsia" w:ascii="仿宋" w:hAnsi="仿宋" w:eastAsia="仿宋" w:cs="仿宋"/>
          <w:sz w:val="32"/>
          <w:szCs w:val="32"/>
        </w:rPr>
        <w:t>办公楼、罐区、库房</w:t>
      </w:r>
      <w:r>
        <w:rPr>
          <w:rFonts w:hint="eastAsia" w:ascii="仿宋" w:hAnsi="仿宋" w:eastAsia="仿宋" w:cs="仿宋"/>
          <w:sz w:val="32"/>
          <w:szCs w:val="32"/>
          <w:lang w:eastAsia="zh-CN"/>
        </w:rPr>
        <w:t>等</w:t>
      </w:r>
      <w:r>
        <w:rPr>
          <w:rFonts w:hint="eastAsia" w:ascii="仿宋" w:hAnsi="仿宋" w:eastAsia="仿宋" w:cs="仿宋"/>
          <w:sz w:val="32"/>
          <w:szCs w:val="32"/>
        </w:rPr>
        <w:t>配套附属设施，购置卸油泵、空气压缩机等设备。项目达产后，年调和加工生产燃料油100000吨；年</w:t>
      </w:r>
      <w:r>
        <w:rPr>
          <w:rFonts w:hint="eastAsia" w:ascii="仿宋" w:hAnsi="仿宋" w:eastAsia="仿宋" w:cs="仿宋"/>
          <w:sz w:val="32"/>
          <w:szCs w:val="32"/>
          <w:lang w:eastAsia="zh-CN"/>
        </w:rPr>
        <w:t>最大</w:t>
      </w:r>
      <w:r>
        <w:rPr>
          <w:rFonts w:hint="eastAsia" w:ascii="仿宋" w:hAnsi="仿宋" w:eastAsia="仿宋" w:cs="仿宋"/>
          <w:sz w:val="32"/>
          <w:szCs w:val="32"/>
        </w:rPr>
        <w:t>仓储周转船舶燃料油180#、20#重油、100#重油、沥青、渣油、油浆、</w:t>
      </w:r>
      <w:r>
        <w:rPr>
          <w:rFonts w:hint="eastAsia" w:ascii="仿宋" w:hAnsi="仿宋" w:eastAsia="仿宋" w:cs="仿宋"/>
          <w:sz w:val="32"/>
          <w:szCs w:val="32"/>
          <w:lang w:eastAsia="zh-CN"/>
        </w:rPr>
        <w:t>柴油共</w:t>
      </w:r>
      <w:r>
        <w:rPr>
          <w:rFonts w:hint="eastAsia" w:ascii="仿宋" w:hAnsi="仿宋" w:eastAsia="仿宋" w:cs="仿宋"/>
          <w:sz w:val="32"/>
          <w:szCs w:val="32"/>
        </w:rPr>
        <w:t>100000吨</w:t>
      </w:r>
      <w:r>
        <w:rPr>
          <w:rFonts w:hint="eastAsia" w:ascii="仿宋" w:hAnsi="仿宋" w:eastAsia="仿宋" w:cs="仿宋"/>
          <w:sz w:val="32"/>
          <w:szCs w:val="32"/>
          <w:lang w:eastAsia="zh-CN"/>
        </w:rPr>
        <w:t>。</w:t>
      </w:r>
      <w:r>
        <w:rPr>
          <w:rFonts w:hint="eastAsia" w:ascii="仿宋" w:hAnsi="仿宋" w:eastAsia="仿宋" w:cs="仿宋"/>
          <w:sz w:val="32"/>
          <w:szCs w:val="32"/>
        </w:rPr>
        <w:t>项目总投资</w:t>
      </w:r>
      <w:r>
        <w:rPr>
          <w:rFonts w:hint="eastAsia" w:ascii="仿宋" w:hAnsi="仿宋" w:eastAsia="仿宋" w:cs="仿宋"/>
          <w:sz w:val="32"/>
          <w:szCs w:val="32"/>
          <w:lang w:val="en-US" w:eastAsia="zh-CN"/>
        </w:rPr>
        <w:t>12000</w:t>
      </w:r>
      <w:r>
        <w:rPr>
          <w:rFonts w:hint="eastAsia" w:ascii="仿宋" w:hAnsi="仿宋" w:eastAsia="仿宋" w:cs="仿宋"/>
          <w:sz w:val="32"/>
          <w:szCs w:val="32"/>
        </w:rPr>
        <w:t>万元，环保投资</w:t>
      </w:r>
      <w:r>
        <w:rPr>
          <w:rFonts w:hint="eastAsia" w:ascii="仿宋" w:hAnsi="仿宋" w:eastAsia="仿宋" w:cs="仿宋"/>
          <w:sz w:val="32"/>
          <w:szCs w:val="32"/>
          <w:lang w:val="en-US" w:eastAsia="zh-CN"/>
        </w:rPr>
        <w:t>345.05</w:t>
      </w:r>
      <w:r>
        <w:rPr>
          <w:rFonts w:hint="eastAsia" w:ascii="仿宋" w:hAnsi="仿宋" w:eastAsia="仿宋" w:cs="仿宋"/>
          <w:sz w:val="32"/>
          <w:szCs w:val="32"/>
        </w:rPr>
        <w:t>万元。</w:t>
      </w:r>
    </w:p>
    <w:p w14:paraId="7764D6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二、在全面落实“报告表”提出的各项</w:t>
      </w:r>
      <w:r>
        <w:rPr>
          <w:rFonts w:hint="eastAsia" w:ascii="仿宋" w:hAnsi="仿宋" w:eastAsia="仿宋" w:cs="仿宋"/>
          <w:sz w:val="32"/>
          <w:szCs w:val="32"/>
          <w:lang w:val="en-US" w:eastAsia="zh-CN"/>
        </w:rPr>
        <w:t>环境保护</w:t>
      </w:r>
      <w:r>
        <w:rPr>
          <w:rFonts w:hint="eastAsia" w:ascii="仿宋" w:hAnsi="仿宋" w:eastAsia="仿宋" w:cs="仿宋"/>
          <w:sz w:val="32"/>
          <w:szCs w:val="32"/>
        </w:rPr>
        <w:t>措施</w:t>
      </w:r>
      <w:r>
        <w:rPr>
          <w:rFonts w:hint="eastAsia" w:ascii="仿宋" w:hAnsi="仿宋" w:eastAsia="仿宋" w:cs="仿宋"/>
          <w:sz w:val="32"/>
          <w:szCs w:val="32"/>
          <w:lang w:val="en-US" w:eastAsia="zh-CN"/>
        </w:rPr>
        <w:t>和环境风险防控措施</w:t>
      </w:r>
      <w:r>
        <w:rPr>
          <w:rFonts w:hint="eastAsia" w:ascii="仿宋" w:hAnsi="仿宋" w:eastAsia="仿宋" w:cs="仿宋"/>
          <w:sz w:val="32"/>
          <w:szCs w:val="32"/>
        </w:rPr>
        <w:t>的前提下，</w:t>
      </w:r>
      <w:r>
        <w:rPr>
          <w:rFonts w:hint="eastAsia" w:ascii="仿宋" w:hAnsi="仿宋" w:eastAsia="仿宋" w:cs="仿宋"/>
          <w:sz w:val="32"/>
          <w:szCs w:val="32"/>
          <w:lang w:val="en-US" w:eastAsia="zh-CN"/>
        </w:rPr>
        <w:t>从生态环境角度，</w:t>
      </w:r>
      <w:r>
        <w:rPr>
          <w:rFonts w:hint="eastAsia" w:ascii="仿宋" w:hAnsi="仿宋" w:eastAsia="仿宋" w:cs="仿宋"/>
          <w:sz w:val="32"/>
          <w:szCs w:val="32"/>
        </w:rPr>
        <w:t>我</w:t>
      </w:r>
      <w:r>
        <w:rPr>
          <w:rFonts w:hint="eastAsia" w:ascii="仿宋" w:hAnsi="仿宋" w:eastAsia="仿宋" w:cs="仿宋"/>
          <w:sz w:val="32"/>
          <w:szCs w:val="32"/>
          <w:lang w:eastAsia="zh-CN"/>
        </w:rPr>
        <w:t>委</w:t>
      </w:r>
      <w:r>
        <w:rPr>
          <w:rFonts w:hint="eastAsia" w:ascii="仿宋" w:hAnsi="仿宋" w:eastAsia="仿宋" w:cs="仿宋"/>
          <w:sz w:val="32"/>
          <w:szCs w:val="32"/>
        </w:rPr>
        <w:t>同意你公司按照“报告表”所列建设项目的性质、地点、规模和环境保护措施进行项目建设。</w:t>
      </w:r>
    </w:p>
    <w:p w14:paraId="4111F99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、项目建设与运行管理中必须严格落实“报告表”提出的各项环保措施，并重点做好以下工作：</w:t>
      </w:r>
    </w:p>
    <w:p w14:paraId="226BA0E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1、加强施工期环境保护工作，采取切实可行的措施，严格控制施工扬尘、噪声、废水及固体废物对周围环境的影响。</w:t>
      </w:r>
    </w:p>
    <w:p w14:paraId="679DA06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red"/>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加强</w:t>
      </w:r>
      <w:r>
        <w:rPr>
          <w:rFonts w:hint="eastAsia" w:ascii="仿宋" w:hAnsi="仿宋" w:eastAsia="仿宋" w:cs="仿宋"/>
          <w:sz w:val="32"/>
          <w:szCs w:val="32"/>
        </w:rPr>
        <w:t>大气污染防治</w:t>
      </w:r>
      <w:r>
        <w:rPr>
          <w:rFonts w:hint="eastAsia" w:ascii="仿宋" w:hAnsi="仿宋" w:eastAsia="仿宋" w:cs="仿宋"/>
          <w:sz w:val="32"/>
          <w:szCs w:val="32"/>
          <w:lang w:eastAsia="zh-CN"/>
        </w:rPr>
        <w:t>工作，</w:t>
      </w:r>
      <w:r>
        <w:rPr>
          <w:rFonts w:hint="eastAsia" w:ascii="仿宋" w:hAnsi="仿宋" w:eastAsia="仿宋" w:cs="仿宋"/>
          <w:sz w:val="32"/>
          <w:szCs w:val="32"/>
        </w:rPr>
        <w:t>本项目储罐大小呼吸、装卸过程</w:t>
      </w:r>
      <w:r>
        <w:rPr>
          <w:rFonts w:hint="eastAsia" w:ascii="仿宋" w:hAnsi="仿宋" w:eastAsia="仿宋" w:cs="仿宋"/>
          <w:sz w:val="32"/>
          <w:szCs w:val="32"/>
          <w:lang w:eastAsia="zh-CN"/>
        </w:rPr>
        <w:t>、调和工序、及危废贮存库</w:t>
      </w:r>
      <w:r>
        <w:rPr>
          <w:rFonts w:hint="eastAsia" w:ascii="仿宋" w:hAnsi="仿宋" w:eastAsia="仿宋" w:cs="仿宋"/>
          <w:sz w:val="32"/>
          <w:szCs w:val="32"/>
        </w:rPr>
        <w:t>产生的</w:t>
      </w:r>
      <w:r>
        <w:rPr>
          <w:rFonts w:hint="eastAsia" w:ascii="仿宋" w:hAnsi="仿宋" w:eastAsia="仿宋" w:cs="仿宋"/>
          <w:sz w:val="32"/>
          <w:szCs w:val="32"/>
          <w:lang w:eastAsia="zh-CN"/>
        </w:rPr>
        <w:t>废气由</w:t>
      </w:r>
      <w:r>
        <w:rPr>
          <w:rFonts w:hint="eastAsia" w:ascii="仿宋" w:hAnsi="仿宋" w:eastAsia="仿宋" w:cs="仿宋"/>
          <w:sz w:val="32"/>
          <w:szCs w:val="32"/>
        </w:rPr>
        <w:t>密闭管道收集</w:t>
      </w:r>
      <w:r>
        <w:rPr>
          <w:rFonts w:hint="eastAsia" w:ascii="仿宋" w:hAnsi="仿宋" w:eastAsia="仿宋" w:cs="仿宋"/>
          <w:sz w:val="32"/>
          <w:szCs w:val="32"/>
          <w:lang w:eastAsia="zh-CN"/>
        </w:rPr>
        <w:t>后，经</w:t>
      </w:r>
      <w:r>
        <w:rPr>
          <w:rFonts w:hint="eastAsia" w:ascii="仿宋" w:hAnsi="仿宋" w:eastAsia="仿宋" w:cs="仿宋"/>
          <w:sz w:val="32"/>
          <w:szCs w:val="32"/>
          <w:lang w:val="en-US" w:eastAsia="zh-CN"/>
        </w:rPr>
        <w:t>1套两级冷凝+两级活性炭的</w:t>
      </w:r>
      <w:r>
        <w:rPr>
          <w:rFonts w:hint="eastAsia" w:ascii="仿宋" w:hAnsi="仿宋" w:eastAsia="仿宋" w:cs="仿宋"/>
          <w:sz w:val="32"/>
          <w:szCs w:val="32"/>
          <w:lang w:eastAsia="zh-CN"/>
        </w:rPr>
        <w:t>油气回收</w:t>
      </w:r>
      <w:r>
        <w:rPr>
          <w:rFonts w:hint="eastAsia" w:ascii="仿宋" w:hAnsi="仿宋" w:eastAsia="仿宋" w:cs="仿宋"/>
          <w:sz w:val="32"/>
          <w:szCs w:val="32"/>
        </w:rPr>
        <w:t>装置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TA001</w:t>
      </w:r>
      <w:r>
        <w:rPr>
          <w:rFonts w:hint="eastAsia" w:ascii="仿宋" w:hAnsi="仿宋" w:eastAsia="仿宋" w:cs="仿宋"/>
          <w:sz w:val="32"/>
          <w:szCs w:val="32"/>
          <w:lang w:eastAsia="zh-CN"/>
        </w:rPr>
        <w:t>）</w:t>
      </w:r>
      <w:r>
        <w:rPr>
          <w:rFonts w:hint="eastAsia" w:ascii="仿宋" w:hAnsi="仿宋" w:eastAsia="仿宋" w:cs="仿宋"/>
          <w:sz w:val="32"/>
          <w:szCs w:val="32"/>
        </w:rPr>
        <w:t>处理后</w:t>
      </w:r>
      <w:r>
        <w:rPr>
          <w:rFonts w:hint="eastAsia" w:ascii="仿宋" w:hAnsi="仿宋" w:eastAsia="仿宋" w:cs="仿宋"/>
          <w:sz w:val="32"/>
          <w:szCs w:val="32"/>
          <w:lang w:val="en-US" w:eastAsia="zh-CN"/>
        </w:rPr>
        <w:t>通过1根1</w:t>
      </w:r>
      <w:r>
        <w:rPr>
          <w:rFonts w:hint="eastAsia" w:ascii="仿宋" w:hAnsi="仿宋" w:eastAsia="仿宋" w:cs="仿宋"/>
          <w:sz w:val="32"/>
          <w:szCs w:val="32"/>
        </w:rPr>
        <w:t>5m高排气筒</w:t>
      </w:r>
      <w:r>
        <w:rPr>
          <w:rFonts w:hint="eastAsia" w:ascii="仿宋" w:hAnsi="仿宋" w:eastAsia="仿宋" w:cs="仿宋"/>
          <w:sz w:val="32"/>
          <w:szCs w:val="32"/>
          <w:lang w:val="en-US" w:eastAsia="zh-CN"/>
        </w:rPr>
        <w:t>(DA001)</w:t>
      </w:r>
      <w:r>
        <w:rPr>
          <w:rFonts w:hint="eastAsia" w:ascii="仿宋" w:hAnsi="仿宋" w:eastAsia="仿宋" w:cs="仿宋"/>
          <w:sz w:val="32"/>
          <w:szCs w:val="32"/>
        </w:rPr>
        <w:t>排放</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确保非甲烷总烃的去除效率满足</w:t>
      </w:r>
      <w:r>
        <w:rPr>
          <w:rFonts w:hint="eastAsia" w:ascii="仿宋" w:hAnsi="仿宋" w:eastAsia="仿宋" w:cs="仿宋"/>
          <w:sz w:val="32"/>
          <w:szCs w:val="32"/>
        </w:rPr>
        <w:t>《石油炼制工业污染物排放标准》（GB 31570-2015）</w:t>
      </w:r>
      <w:r>
        <w:rPr>
          <w:rFonts w:hint="eastAsia" w:ascii="仿宋" w:hAnsi="仿宋" w:eastAsia="仿宋" w:cs="仿宋"/>
          <w:sz w:val="32"/>
          <w:szCs w:val="32"/>
          <w:lang w:eastAsia="zh-CN"/>
        </w:rPr>
        <w:t>及修改单</w:t>
      </w:r>
      <w:r>
        <w:rPr>
          <w:rFonts w:hint="eastAsia" w:ascii="仿宋" w:hAnsi="仿宋" w:eastAsia="仿宋" w:cs="仿宋"/>
          <w:sz w:val="32"/>
          <w:szCs w:val="32"/>
          <w:highlight w:val="none"/>
        </w:rPr>
        <w:t>标准限值要求</w:t>
      </w:r>
      <w:r>
        <w:rPr>
          <w:rFonts w:hint="eastAsia" w:ascii="仿宋" w:hAnsi="仿宋" w:eastAsia="仿宋" w:cs="仿宋"/>
          <w:sz w:val="32"/>
          <w:szCs w:val="32"/>
          <w:highlight w:val="none"/>
          <w:lang w:eastAsia="zh-CN"/>
        </w:rPr>
        <w:t>；非甲烷总烃、苯并芘、沥青烟排放浓度及速率满足《大气污染物综合排放标准》</w:t>
      </w:r>
      <w:r>
        <w:rPr>
          <w:rFonts w:hint="eastAsia" w:ascii="仿宋" w:hAnsi="仿宋" w:eastAsia="仿宋" w:cs="仿宋"/>
          <w:sz w:val="32"/>
          <w:szCs w:val="32"/>
        </w:rPr>
        <w:t>（</w:t>
      </w:r>
      <w:r>
        <w:rPr>
          <w:rFonts w:hint="eastAsia" w:ascii="仿宋" w:hAnsi="仿宋" w:eastAsia="仿宋" w:cs="仿宋"/>
          <w:sz w:val="32"/>
          <w:szCs w:val="32"/>
          <w:highlight w:val="none"/>
          <w:lang w:eastAsia="zh-CN"/>
        </w:rPr>
        <w:t>GB</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16297-1996</w:t>
      </w:r>
      <w:r>
        <w:rPr>
          <w:rFonts w:hint="eastAsia" w:ascii="仿宋" w:hAnsi="仿宋" w:eastAsia="仿宋" w:cs="仿宋"/>
          <w:sz w:val="32"/>
          <w:szCs w:val="32"/>
        </w:rPr>
        <w:t>）</w:t>
      </w:r>
      <w:r>
        <w:rPr>
          <w:rFonts w:hint="eastAsia" w:ascii="仿宋" w:hAnsi="仿宋" w:eastAsia="仿宋" w:cs="仿宋"/>
          <w:sz w:val="32"/>
          <w:szCs w:val="32"/>
          <w:highlight w:val="none"/>
        </w:rPr>
        <w:t>标准限值要求</w:t>
      </w:r>
      <w:r>
        <w:rPr>
          <w:rFonts w:hint="eastAsia" w:ascii="仿宋" w:hAnsi="仿宋" w:eastAsia="仿宋" w:cs="仿宋"/>
          <w:sz w:val="32"/>
          <w:szCs w:val="32"/>
          <w:highlight w:val="none"/>
          <w:lang w:eastAsia="zh-CN"/>
        </w:rPr>
        <w:t>。</w:t>
      </w:r>
    </w:p>
    <w:p w14:paraId="36B0FC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本项目设置一台</w:t>
      </w:r>
      <w:r>
        <w:rPr>
          <w:rFonts w:hint="eastAsia" w:ascii="仿宋" w:hAnsi="仿宋" w:eastAsia="仿宋" w:cs="仿宋"/>
          <w:sz w:val="32"/>
          <w:szCs w:val="32"/>
          <w:lang w:val="en-US" w:eastAsia="zh-CN"/>
        </w:rPr>
        <w:t>4t/h</w:t>
      </w:r>
      <w:r>
        <w:rPr>
          <w:rFonts w:hint="eastAsia" w:ascii="仿宋" w:hAnsi="仿宋" w:eastAsia="仿宋" w:cs="仿宋"/>
          <w:sz w:val="32"/>
          <w:szCs w:val="32"/>
        </w:rPr>
        <w:t>燃气</w:t>
      </w:r>
      <w:r>
        <w:rPr>
          <w:rFonts w:hint="eastAsia" w:ascii="仿宋" w:hAnsi="仿宋" w:eastAsia="仿宋" w:cs="仿宋"/>
          <w:sz w:val="32"/>
          <w:szCs w:val="32"/>
          <w:lang w:eastAsia="zh-CN"/>
        </w:rPr>
        <w:t>导热油炉</w:t>
      </w:r>
      <w:r>
        <w:rPr>
          <w:rFonts w:hint="eastAsia" w:ascii="仿宋" w:hAnsi="仿宋" w:eastAsia="仿宋" w:cs="仿宋"/>
          <w:sz w:val="32"/>
          <w:szCs w:val="32"/>
        </w:rPr>
        <w:t>，</w:t>
      </w:r>
      <w:r>
        <w:rPr>
          <w:rFonts w:hint="eastAsia" w:ascii="仿宋" w:hAnsi="仿宋" w:eastAsia="仿宋" w:cs="仿宋"/>
          <w:sz w:val="32"/>
          <w:szCs w:val="32"/>
          <w:lang w:eastAsia="zh-CN"/>
        </w:rPr>
        <w:t>导热油炉</w:t>
      </w:r>
      <w:r>
        <w:rPr>
          <w:rFonts w:hint="eastAsia" w:ascii="仿宋" w:hAnsi="仿宋" w:eastAsia="仿宋" w:cs="仿宋"/>
          <w:sz w:val="32"/>
          <w:szCs w:val="32"/>
        </w:rPr>
        <w:t>产生的废气经低氮燃烧后通过1根</w:t>
      </w:r>
      <w:r>
        <w:rPr>
          <w:rFonts w:hint="eastAsia" w:ascii="仿宋" w:hAnsi="仿宋" w:eastAsia="仿宋" w:cs="仿宋"/>
          <w:sz w:val="32"/>
          <w:szCs w:val="32"/>
          <w:lang w:val="en-US" w:eastAsia="zh-CN"/>
        </w:rPr>
        <w:t>15</w:t>
      </w:r>
      <w:r>
        <w:rPr>
          <w:rFonts w:hint="eastAsia" w:ascii="仿宋" w:hAnsi="仿宋" w:eastAsia="仿宋" w:cs="仿宋"/>
          <w:sz w:val="32"/>
          <w:szCs w:val="32"/>
        </w:rPr>
        <w:t>m高排气筒</w:t>
      </w:r>
      <w:r>
        <w:rPr>
          <w:rFonts w:hint="eastAsia" w:ascii="仿宋" w:hAnsi="仿宋" w:eastAsia="仿宋" w:cs="仿宋"/>
          <w:sz w:val="32"/>
          <w:szCs w:val="32"/>
          <w:lang w:val="en-US" w:eastAsia="zh-CN"/>
        </w:rPr>
        <w:t>(DA002)</w:t>
      </w:r>
      <w:r>
        <w:rPr>
          <w:rFonts w:hint="eastAsia" w:ascii="仿宋" w:hAnsi="仿宋" w:eastAsia="仿宋" w:cs="仿宋"/>
          <w:sz w:val="32"/>
          <w:szCs w:val="32"/>
        </w:rPr>
        <w:t>排放，确保颗粒物、SO</w:t>
      </w:r>
      <w:r>
        <w:rPr>
          <w:rFonts w:hint="eastAsia" w:ascii="仿宋" w:hAnsi="仿宋" w:eastAsia="仿宋" w:cs="仿宋"/>
          <w:sz w:val="32"/>
          <w:szCs w:val="32"/>
          <w:vertAlign w:val="subscript"/>
        </w:rPr>
        <w:t>2</w:t>
      </w:r>
      <w:r>
        <w:rPr>
          <w:rFonts w:hint="eastAsia" w:ascii="仿宋" w:hAnsi="仿宋" w:eastAsia="仿宋" w:cs="仿宋"/>
          <w:sz w:val="32"/>
          <w:szCs w:val="32"/>
        </w:rPr>
        <w:t>、NOx</w:t>
      </w:r>
      <w:r>
        <w:rPr>
          <w:rFonts w:hint="eastAsia" w:ascii="仿宋" w:hAnsi="仿宋" w:eastAsia="仿宋" w:cs="仿宋"/>
          <w:sz w:val="32"/>
          <w:szCs w:val="32"/>
          <w:lang w:eastAsia="zh-CN"/>
        </w:rPr>
        <w:t>、烟气黑度</w:t>
      </w:r>
      <w:r>
        <w:rPr>
          <w:rFonts w:hint="eastAsia" w:ascii="仿宋" w:hAnsi="仿宋" w:eastAsia="仿宋" w:cs="仿宋"/>
          <w:sz w:val="32"/>
          <w:szCs w:val="32"/>
        </w:rPr>
        <w:t>的排放浓度满足《锅炉大气污染物排放标准》（GB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13271-2014）</w:t>
      </w:r>
      <w:r>
        <w:rPr>
          <w:rFonts w:hint="eastAsia" w:ascii="仿宋" w:hAnsi="仿宋" w:eastAsia="仿宋" w:cs="仿宋"/>
          <w:sz w:val="32"/>
          <w:szCs w:val="32"/>
          <w:lang w:eastAsia="zh-CN"/>
        </w:rPr>
        <w:t>中</w:t>
      </w:r>
      <w:r>
        <w:rPr>
          <w:rFonts w:hint="eastAsia" w:ascii="仿宋" w:hAnsi="仿宋" w:eastAsia="仿宋" w:cs="仿宋"/>
          <w:sz w:val="32"/>
          <w:szCs w:val="32"/>
        </w:rPr>
        <w:t>燃气锅炉特别排放</w:t>
      </w:r>
      <w:r>
        <w:rPr>
          <w:rFonts w:hint="eastAsia" w:ascii="仿宋" w:hAnsi="仿宋" w:eastAsia="仿宋" w:cs="仿宋"/>
          <w:sz w:val="32"/>
          <w:szCs w:val="32"/>
          <w:highlight w:val="none"/>
        </w:rPr>
        <w:t>标准限值要求</w:t>
      </w:r>
      <w:r>
        <w:rPr>
          <w:rFonts w:hint="eastAsia" w:ascii="仿宋" w:hAnsi="仿宋" w:eastAsia="仿宋" w:cs="仿宋"/>
          <w:sz w:val="32"/>
          <w:szCs w:val="32"/>
        </w:rPr>
        <w:t>。</w:t>
      </w:r>
    </w:p>
    <w:p w14:paraId="1DFF722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严格生产全过程管理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加强</w:t>
      </w:r>
      <w:r>
        <w:rPr>
          <w:rFonts w:hint="eastAsia" w:ascii="仿宋" w:hAnsi="仿宋" w:eastAsia="仿宋" w:cs="仿宋"/>
          <w:sz w:val="32"/>
          <w:szCs w:val="32"/>
          <w:highlight w:val="none"/>
          <w:lang w:eastAsia="zh-CN"/>
        </w:rPr>
        <w:t>车间</w:t>
      </w:r>
      <w:r>
        <w:rPr>
          <w:rFonts w:hint="eastAsia" w:ascii="仿宋" w:hAnsi="仿宋" w:eastAsia="仿宋" w:cs="仿宋"/>
          <w:sz w:val="32"/>
          <w:szCs w:val="32"/>
          <w:highlight w:val="none"/>
        </w:rPr>
        <w:t>无组织排放管控</w:t>
      </w:r>
      <w:r>
        <w:rPr>
          <w:rFonts w:hint="eastAsia" w:ascii="仿宋" w:hAnsi="仿宋" w:eastAsia="仿宋" w:cs="仿宋"/>
          <w:sz w:val="32"/>
          <w:szCs w:val="32"/>
        </w:rPr>
        <w:t>，确保</w:t>
      </w:r>
      <w:r>
        <w:rPr>
          <w:rFonts w:hint="eastAsia" w:ascii="仿宋" w:hAnsi="仿宋" w:eastAsia="仿宋" w:cs="仿宋"/>
          <w:sz w:val="32"/>
          <w:szCs w:val="32"/>
          <w:lang w:eastAsia="zh-CN"/>
        </w:rPr>
        <w:t>厂界非甲烷总烃、苯并芘</w:t>
      </w:r>
      <w:r>
        <w:rPr>
          <w:rFonts w:hint="eastAsia" w:ascii="仿宋" w:hAnsi="仿宋" w:eastAsia="仿宋" w:cs="仿宋"/>
          <w:sz w:val="32"/>
          <w:szCs w:val="32"/>
        </w:rPr>
        <w:t>浓度</w:t>
      </w:r>
      <w:r>
        <w:rPr>
          <w:rFonts w:hint="eastAsia" w:ascii="仿宋" w:hAnsi="仿宋" w:eastAsia="仿宋" w:cs="仿宋"/>
          <w:sz w:val="32"/>
          <w:szCs w:val="32"/>
          <w:lang w:eastAsia="zh-CN"/>
        </w:rPr>
        <w:t>同时</w:t>
      </w:r>
      <w:r>
        <w:rPr>
          <w:rFonts w:hint="eastAsia" w:ascii="仿宋" w:hAnsi="仿宋" w:eastAsia="仿宋" w:cs="仿宋"/>
          <w:sz w:val="32"/>
          <w:szCs w:val="32"/>
        </w:rPr>
        <w:t>满足《石油炼制工业污染物排放标准》（GB 31570-2015）</w:t>
      </w:r>
      <w:r>
        <w:rPr>
          <w:rFonts w:hint="eastAsia" w:ascii="仿宋" w:hAnsi="仿宋" w:eastAsia="仿宋" w:cs="仿宋"/>
          <w:sz w:val="32"/>
          <w:szCs w:val="32"/>
          <w:lang w:eastAsia="zh-CN"/>
        </w:rPr>
        <w:t>及修改单、</w:t>
      </w:r>
      <w:r>
        <w:rPr>
          <w:rFonts w:hint="eastAsia" w:ascii="仿宋" w:hAnsi="仿宋" w:eastAsia="仿宋" w:cs="仿宋"/>
          <w:sz w:val="32"/>
          <w:szCs w:val="32"/>
          <w:highlight w:val="none"/>
          <w:lang w:eastAsia="zh-CN"/>
        </w:rPr>
        <w:t>《大气污染物综合排放标准》</w:t>
      </w:r>
      <w:r>
        <w:rPr>
          <w:rFonts w:hint="eastAsia" w:ascii="仿宋" w:hAnsi="仿宋" w:eastAsia="仿宋" w:cs="仿宋"/>
          <w:sz w:val="32"/>
          <w:szCs w:val="32"/>
        </w:rPr>
        <w:t>（</w:t>
      </w:r>
      <w:r>
        <w:rPr>
          <w:rFonts w:hint="eastAsia" w:ascii="仿宋" w:hAnsi="仿宋" w:eastAsia="仿宋" w:cs="仿宋"/>
          <w:sz w:val="32"/>
          <w:szCs w:val="32"/>
          <w:highlight w:val="none"/>
          <w:lang w:eastAsia="zh-CN"/>
        </w:rPr>
        <w:t>GB</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16297-1996</w:t>
      </w:r>
      <w:r>
        <w:rPr>
          <w:rFonts w:hint="eastAsia" w:ascii="仿宋" w:hAnsi="仿宋" w:eastAsia="仿宋" w:cs="仿宋"/>
          <w:sz w:val="32"/>
          <w:szCs w:val="32"/>
        </w:rPr>
        <w:t>）</w:t>
      </w:r>
      <w:r>
        <w:rPr>
          <w:rFonts w:hint="eastAsia" w:ascii="仿宋" w:hAnsi="仿宋" w:eastAsia="仿宋" w:cs="仿宋"/>
          <w:sz w:val="32"/>
          <w:szCs w:val="32"/>
          <w:highlight w:val="none"/>
        </w:rPr>
        <w:t>标准限值要求</w:t>
      </w:r>
      <w:r>
        <w:rPr>
          <w:rFonts w:hint="eastAsia" w:ascii="仿宋" w:hAnsi="仿宋" w:eastAsia="仿宋" w:cs="仿宋"/>
          <w:sz w:val="32"/>
          <w:szCs w:val="32"/>
          <w:highlight w:val="none"/>
          <w:lang w:eastAsia="zh-CN"/>
        </w:rPr>
        <w:t>，沥青烟</w:t>
      </w:r>
      <w:r>
        <w:rPr>
          <w:rFonts w:hint="eastAsia" w:ascii="仿宋" w:hAnsi="仿宋" w:eastAsia="仿宋" w:cs="仿宋"/>
          <w:sz w:val="32"/>
          <w:szCs w:val="32"/>
        </w:rPr>
        <w:t>浓度满足《</w:t>
      </w:r>
      <w:r>
        <w:rPr>
          <w:rFonts w:hint="eastAsia" w:ascii="仿宋" w:hAnsi="仿宋" w:eastAsia="仿宋" w:cs="仿宋"/>
          <w:sz w:val="32"/>
          <w:szCs w:val="32"/>
          <w:highlight w:val="none"/>
          <w:lang w:eastAsia="zh-CN"/>
        </w:rPr>
        <w:t>大气污染物综合排放标准》</w:t>
      </w:r>
      <w:r>
        <w:rPr>
          <w:rFonts w:hint="eastAsia" w:ascii="仿宋" w:hAnsi="仿宋" w:eastAsia="仿宋" w:cs="仿宋"/>
          <w:sz w:val="32"/>
          <w:szCs w:val="32"/>
        </w:rPr>
        <w:t>（</w:t>
      </w:r>
      <w:r>
        <w:rPr>
          <w:rFonts w:hint="eastAsia" w:ascii="仿宋" w:hAnsi="仿宋" w:eastAsia="仿宋" w:cs="仿宋"/>
          <w:sz w:val="32"/>
          <w:szCs w:val="32"/>
          <w:highlight w:val="none"/>
          <w:lang w:eastAsia="zh-CN"/>
        </w:rPr>
        <w:t>GB</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16297-1996</w:t>
      </w:r>
      <w:r>
        <w:rPr>
          <w:rFonts w:hint="eastAsia" w:ascii="仿宋" w:hAnsi="仿宋" w:eastAsia="仿宋" w:cs="仿宋"/>
          <w:sz w:val="32"/>
          <w:szCs w:val="32"/>
        </w:rPr>
        <w:t>）</w:t>
      </w:r>
      <w:r>
        <w:rPr>
          <w:rFonts w:hint="eastAsia" w:ascii="仿宋" w:hAnsi="仿宋" w:eastAsia="仿宋" w:cs="仿宋"/>
          <w:sz w:val="32"/>
          <w:szCs w:val="32"/>
          <w:highlight w:val="none"/>
        </w:rPr>
        <w:t>标准限值要求</w:t>
      </w:r>
      <w:r>
        <w:rPr>
          <w:rFonts w:hint="eastAsia" w:ascii="仿宋" w:hAnsi="仿宋" w:eastAsia="仿宋" w:cs="仿宋"/>
          <w:sz w:val="32"/>
          <w:szCs w:val="32"/>
        </w:rPr>
        <w:t>。</w:t>
      </w:r>
    </w:p>
    <w:p w14:paraId="457DB8B1">
      <w:pPr>
        <w:keepNext w:val="0"/>
        <w:keepLines w:val="0"/>
        <w:pageBreakBefore w:val="0"/>
        <w:widowControl w:val="0"/>
        <w:numPr>
          <w:ilvl w:val="0"/>
          <w:numId w:val="0"/>
        </w:numPr>
        <w:tabs>
          <w:tab w:val="left" w:pos="3752"/>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red"/>
        </w:rPr>
      </w:pPr>
      <w:r>
        <w:rPr>
          <w:rFonts w:hint="eastAsia" w:ascii="仿宋" w:hAnsi="仿宋" w:eastAsia="仿宋" w:cs="仿宋"/>
          <w:sz w:val="32"/>
          <w:szCs w:val="32"/>
          <w:lang w:val="en-US" w:eastAsia="zh-CN"/>
        </w:rPr>
        <w:t>3、按照“清污分流、雨污分流”原则设计、建设排水系统</w:t>
      </w:r>
      <w:r>
        <w:rPr>
          <w:rFonts w:hint="eastAsia" w:ascii="仿宋" w:hAnsi="仿宋" w:eastAsia="仿宋" w:cs="仿宋"/>
          <w:sz w:val="32"/>
          <w:szCs w:val="32"/>
        </w:rPr>
        <w:t>。本项目</w:t>
      </w:r>
      <w:r>
        <w:rPr>
          <w:rFonts w:hint="eastAsia" w:ascii="仿宋" w:hAnsi="仿宋" w:eastAsia="仿宋" w:cs="仿宋"/>
          <w:sz w:val="32"/>
          <w:szCs w:val="32"/>
          <w:lang w:eastAsia="zh-CN"/>
        </w:rPr>
        <w:t>无生产废水产生及排放，初期雨水进入初期雨水池，经隔油处理后与经化粪池处理后的生活污水一并</w:t>
      </w:r>
      <w:r>
        <w:rPr>
          <w:rFonts w:hint="eastAsia" w:ascii="仿宋" w:hAnsi="仿宋" w:eastAsia="仿宋" w:cs="仿宋"/>
          <w:sz w:val="32"/>
          <w:szCs w:val="32"/>
        </w:rPr>
        <w:t>排入辽宁（营口）沿海产业基地冶金化工重装备区东部污水处理厂，</w:t>
      </w:r>
      <w:r>
        <w:rPr>
          <w:rFonts w:hint="eastAsia" w:ascii="仿宋" w:hAnsi="仿宋" w:eastAsia="仿宋" w:cs="仿宋"/>
          <w:sz w:val="32"/>
          <w:szCs w:val="32"/>
          <w:highlight w:val="none"/>
        </w:rPr>
        <w:t>确保厂区废水总排放口的化学需氧量、氨氮、总氮等污染物的排放浓度满足《辽宁省污水综合排放标准》（DB 21/1627-2008）中表2排入污水处理厂最高允许浓度限值要求; pH</w:t>
      </w:r>
      <w:r>
        <w:rPr>
          <w:rFonts w:hint="eastAsia" w:ascii="仿宋" w:hAnsi="仿宋" w:eastAsia="仿宋" w:cs="仿宋"/>
          <w:sz w:val="32"/>
          <w:szCs w:val="32"/>
          <w:highlight w:val="none"/>
          <w:lang w:eastAsia="zh-CN"/>
        </w:rPr>
        <w:t>、石油类</w:t>
      </w:r>
      <w:r>
        <w:rPr>
          <w:rFonts w:hint="eastAsia" w:ascii="仿宋" w:hAnsi="仿宋" w:eastAsia="仿宋" w:cs="仿宋"/>
          <w:sz w:val="32"/>
          <w:szCs w:val="32"/>
          <w:highlight w:val="none"/>
        </w:rPr>
        <w:t>排放浓度满足《污水综合排放标准》（GB 8978-1996）表4中三级标准限值要求。</w:t>
      </w:r>
    </w:p>
    <w:p w14:paraId="2C8E31D9">
      <w:pPr>
        <w:keepNext w:val="0"/>
        <w:keepLines w:val="0"/>
        <w:pageBreakBefore w:val="0"/>
        <w:widowControl w:val="0"/>
        <w:tabs>
          <w:tab w:val="left" w:pos="3752"/>
        </w:tabs>
        <w:kinsoku/>
        <w:wordWrap/>
        <w:overflowPunct/>
        <w:topLinePunct w:val="0"/>
        <w:autoSpaceDE/>
        <w:autoSpaceDN/>
        <w:bidi w:val="0"/>
        <w:adjustRightInd/>
        <w:snapToGrid/>
        <w:spacing w:line="240" w:lineRule="auto"/>
        <w:ind w:firstLine="651"/>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、选用低噪声设备并合理布局，对产生高噪声的设备采取减振等降噪措施，确保厂界噪声满足《工业企业厂界环境噪声排放标准》（GB 12348-2008）标准限值要求。</w:t>
      </w:r>
    </w:p>
    <w:p w14:paraId="5BF46437">
      <w:pPr>
        <w:keepNext w:val="0"/>
        <w:keepLines w:val="0"/>
        <w:pageBreakBefore w:val="0"/>
        <w:widowControl w:val="0"/>
        <w:tabs>
          <w:tab w:val="left" w:pos="3752"/>
        </w:tabs>
        <w:kinsoku/>
        <w:wordWrap/>
        <w:overflowPunct/>
        <w:topLinePunct w:val="0"/>
        <w:autoSpaceDE/>
        <w:autoSpaceDN/>
        <w:bidi w:val="0"/>
        <w:adjustRightInd/>
        <w:snapToGrid/>
        <w:spacing w:line="240" w:lineRule="auto"/>
        <w:ind w:firstLine="651"/>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须分类收集和处置各类固体废弃物。项目产生的油泥</w:t>
      </w:r>
      <w:r>
        <w:rPr>
          <w:rFonts w:hint="eastAsia" w:ascii="仿宋" w:hAnsi="仿宋" w:eastAsia="仿宋" w:cs="仿宋"/>
          <w:sz w:val="32"/>
          <w:szCs w:val="32"/>
          <w:lang w:eastAsia="zh-CN"/>
        </w:rPr>
        <w:t>、浮油、废导热油、废机油、废空压机油、废机油桶、含油抹布、废油、废活性炭</w:t>
      </w:r>
      <w:r>
        <w:rPr>
          <w:rFonts w:hint="eastAsia" w:ascii="仿宋" w:hAnsi="仿宋" w:eastAsia="仿宋" w:cs="仿宋"/>
          <w:sz w:val="32"/>
          <w:szCs w:val="32"/>
        </w:rPr>
        <w:t>属于危险废物，暂存于</w:t>
      </w:r>
      <w:r>
        <w:rPr>
          <w:rFonts w:hint="eastAsia" w:ascii="仿宋" w:hAnsi="仿宋" w:eastAsia="仿宋" w:cs="仿宋"/>
          <w:sz w:val="32"/>
          <w:szCs w:val="32"/>
          <w:lang w:eastAsia="zh-CN"/>
        </w:rPr>
        <w:t>危废贮存库</w:t>
      </w:r>
      <w:r>
        <w:rPr>
          <w:rFonts w:hint="eastAsia" w:ascii="仿宋" w:hAnsi="仿宋" w:eastAsia="仿宋" w:cs="仿宋"/>
          <w:sz w:val="32"/>
          <w:szCs w:val="32"/>
        </w:rPr>
        <w:t>，定期委托有资质的单位进行处理，</w:t>
      </w:r>
      <w:r>
        <w:rPr>
          <w:rFonts w:hint="eastAsia" w:ascii="仿宋" w:hAnsi="仿宋" w:eastAsia="仿宋" w:cs="仿宋"/>
          <w:sz w:val="32"/>
          <w:szCs w:val="32"/>
          <w:highlight w:val="none"/>
        </w:rPr>
        <w:t>危险废物收集、暂存和转运须符合《危险废物贮存污染控制标准》（GB 18597-20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）的规定</w:t>
      </w:r>
      <w:r>
        <w:rPr>
          <w:rFonts w:hint="eastAsia" w:ascii="仿宋" w:hAnsi="仿宋" w:eastAsia="仿宋" w:cs="仿宋"/>
          <w:sz w:val="32"/>
          <w:szCs w:val="32"/>
        </w:rPr>
        <w:t>；生活垃圾委托环卫部门统一清运处理。</w:t>
      </w:r>
    </w:p>
    <w:p w14:paraId="492A0D34">
      <w:pPr>
        <w:keepNext w:val="0"/>
        <w:keepLines w:val="0"/>
        <w:pageBreakBefore w:val="0"/>
        <w:widowControl w:val="0"/>
        <w:tabs>
          <w:tab w:val="left" w:pos="3752"/>
        </w:tabs>
        <w:kinsoku/>
        <w:wordWrap/>
        <w:overflowPunct/>
        <w:topLinePunct w:val="0"/>
        <w:autoSpaceDE/>
        <w:autoSpaceDN/>
        <w:bidi w:val="0"/>
        <w:adjustRightInd/>
        <w:snapToGrid/>
        <w:spacing w:line="240" w:lineRule="auto"/>
        <w:ind w:firstLine="651"/>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6、严格落实厂区地下水及土壤污染防治工作，对不同区域采取相应的分区防渗处置措施，</w:t>
      </w:r>
      <w:r>
        <w:rPr>
          <w:rFonts w:hint="eastAsia" w:ascii="仿宋" w:hAnsi="仿宋" w:eastAsia="仿宋" w:cs="仿宋"/>
          <w:sz w:val="32"/>
          <w:szCs w:val="32"/>
          <w:highlight w:val="none"/>
          <w:lang w:val="en-US" w:eastAsia="zh-CN"/>
        </w:rPr>
        <w:t>并设置1眼地下水监测井</w:t>
      </w:r>
      <w:r>
        <w:rPr>
          <w:rFonts w:hint="eastAsia" w:ascii="仿宋" w:hAnsi="仿宋" w:eastAsia="仿宋" w:cs="仿宋"/>
          <w:sz w:val="32"/>
          <w:szCs w:val="32"/>
          <w:lang w:val="en-US" w:eastAsia="zh-CN"/>
        </w:rPr>
        <w:t>，防止污染地下水。</w:t>
      </w:r>
    </w:p>
    <w:p w14:paraId="524BD17B">
      <w:pPr>
        <w:keepNext w:val="0"/>
        <w:keepLines w:val="0"/>
        <w:pageBreakBefore w:val="0"/>
        <w:widowControl w:val="0"/>
        <w:tabs>
          <w:tab w:val="left" w:pos="3752"/>
        </w:tabs>
        <w:kinsoku/>
        <w:wordWrap/>
        <w:overflowPunct/>
        <w:topLinePunct w:val="0"/>
        <w:autoSpaceDE/>
        <w:autoSpaceDN/>
        <w:bidi w:val="0"/>
        <w:adjustRightInd/>
        <w:snapToGrid/>
        <w:spacing w:line="240" w:lineRule="auto"/>
        <w:ind w:firstLine="651"/>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严格落实“报告表”提出的环境风险防范措施，严格落实环保设施安全生产工作要求，健全企业内部污染防治设施稳定运行和管理责任制度，委托有相应资质的设计单位对重点环保设施进行设计，并定期做好环保设施安全风险辨识评估和隐患排查治理。</w:t>
      </w:r>
    </w:p>
    <w:p w14:paraId="5C3EC2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四</w:t>
      </w:r>
      <w:r>
        <w:rPr>
          <w:rFonts w:hint="eastAsia" w:ascii="仿宋" w:hAnsi="仿宋" w:eastAsia="仿宋" w:cs="仿宋"/>
          <w:bCs/>
          <w:sz w:val="32"/>
          <w:szCs w:val="32"/>
        </w:rPr>
        <w:t>、本项目的性质、规模、地点、环境保护措施等发生重大变动，你公司须向我</w:t>
      </w:r>
      <w:r>
        <w:rPr>
          <w:rFonts w:hint="eastAsia" w:ascii="仿宋" w:hAnsi="仿宋" w:eastAsia="仿宋" w:cs="仿宋"/>
          <w:bCs/>
          <w:sz w:val="32"/>
          <w:szCs w:val="32"/>
          <w:lang w:eastAsia="zh-CN"/>
        </w:rPr>
        <w:t>委</w:t>
      </w:r>
      <w:r>
        <w:rPr>
          <w:rFonts w:hint="eastAsia" w:ascii="仿宋" w:hAnsi="仿宋" w:eastAsia="仿宋" w:cs="仿宋"/>
          <w:bCs/>
          <w:sz w:val="32"/>
          <w:szCs w:val="32"/>
        </w:rPr>
        <w:t>重新报批环境影响评价文件。</w:t>
      </w:r>
    </w:p>
    <w:p w14:paraId="1B5C4EF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、项目竣工后，建设单位应当按照规定的标准和程序，对配套建设的环境保护设施进行验收，验收合格后方可正式投入运行。</w:t>
      </w:r>
    </w:p>
    <w:p w14:paraId="147FD6A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、若因本项目建设和生产过程中发生环境信访事件，你公司要配合当地政府予以妥善解决。</w:t>
      </w:r>
    </w:p>
    <w:p w14:paraId="10A06C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7046F3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14:paraId="6DFA0E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bookmarkStart w:id="0" w:name="_GoBack"/>
      <w:bookmarkEnd w:id="0"/>
    </w:p>
    <w:p w14:paraId="73E9CE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辽宁（营口）沿海产业基地</w:t>
      </w:r>
      <w:r>
        <w:rPr>
          <w:rFonts w:hint="eastAsia" w:ascii="仿宋" w:hAnsi="仿宋" w:eastAsia="仿宋" w:cs="仿宋"/>
          <w:sz w:val="32"/>
          <w:szCs w:val="32"/>
          <w:lang w:eastAsia="zh-CN"/>
        </w:rPr>
        <w:t>管委会</w:t>
      </w:r>
    </w:p>
    <w:p w14:paraId="44E3CA6C">
      <w:pPr>
        <w:keepNext w:val="0"/>
        <w:keepLines w:val="0"/>
        <w:pageBreakBefore w:val="0"/>
        <w:widowControl w:val="0"/>
        <w:kinsoku/>
        <w:wordWrap/>
        <w:overflowPunct/>
        <w:topLinePunct w:val="0"/>
        <w:autoSpaceDE/>
        <w:autoSpaceDN/>
        <w:bidi w:val="0"/>
        <w:adjustRightInd/>
        <w:snapToGrid/>
        <w:spacing w:line="240" w:lineRule="auto"/>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六</w:t>
      </w:r>
      <w:r>
        <w:rPr>
          <w:rFonts w:hint="eastAsia" w:ascii="仿宋" w:hAnsi="仿宋" w:eastAsia="仿宋" w:cs="仿宋"/>
          <w:sz w:val="32"/>
          <w:szCs w:val="32"/>
        </w:rPr>
        <w:t>月</w:t>
      </w:r>
      <w:r>
        <w:rPr>
          <w:rFonts w:hint="eastAsia" w:ascii="仿宋" w:hAnsi="仿宋" w:eastAsia="仿宋" w:cs="仿宋"/>
          <w:sz w:val="32"/>
          <w:szCs w:val="32"/>
          <w:lang w:eastAsia="zh-CN"/>
        </w:rPr>
        <w:t>二十</w:t>
      </w:r>
      <w:r>
        <w:rPr>
          <w:rFonts w:hint="eastAsia" w:ascii="仿宋" w:hAnsi="仿宋" w:eastAsia="仿宋" w:cs="仿宋"/>
          <w:sz w:val="32"/>
          <w:szCs w:val="32"/>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CB1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59CB5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359CB5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FF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ZGJhZDJkYmQ0Y2NiZjk5ODA3NzM0YWQwMjM1OTMifQ=="/>
    <w:docVar w:name="KSO_WPS_MARK_KEY" w:val="49d3711b-4f05-4f6b-97be-15257e81ccaa"/>
  </w:docVars>
  <w:rsids>
    <w:rsidRoot w:val="0048171F"/>
    <w:rsid w:val="00002D4B"/>
    <w:rsid w:val="00003FC4"/>
    <w:rsid w:val="00007B97"/>
    <w:rsid w:val="0004066E"/>
    <w:rsid w:val="00043840"/>
    <w:rsid w:val="00055F45"/>
    <w:rsid w:val="00057A6F"/>
    <w:rsid w:val="0007464A"/>
    <w:rsid w:val="000B1C3C"/>
    <w:rsid w:val="000D6478"/>
    <w:rsid w:val="000E1ED9"/>
    <w:rsid w:val="000F679E"/>
    <w:rsid w:val="000F7833"/>
    <w:rsid w:val="0010153B"/>
    <w:rsid w:val="001329A7"/>
    <w:rsid w:val="00136AF8"/>
    <w:rsid w:val="00140DFC"/>
    <w:rsid w:val="00145584"/>
    <w:rsid w:val="00154CCA"/>
    <w:rsid w:val="00170485"/>
    <w:rsid w:val="00181BC1"/>
    <w:rsid w:val="001829CC"/>
    <w:rsid w:val="00191143"/>
    <w:rsid w:val="00194F3D"/>
    <w:rsid w:val="001A441A"/>
    <w:rsid w:val="001B496E"/>
    <w:rsid w:val="001D0751"/>
    <w:rsid w:val="001D1DE7"/>
    <w:rsid w:val="001E1AED"/>
    <w:rsid w:val="001E3867"/>
    <w:rsid w:val="001F73E1"/>
    <w:rsid w:val="001F78E5"/>
    <w:rsid w:val="00201392"/>
    <w:rsid w:val="00203CE9"/>
    <w:rsid w:val="00211D8F"/>
    <w:rsid w:val="002264D4"/>
    <w:rsid w:val="00226F54"/>
    <w:rsid w:val="00231C86"/>
    <w:rsid w:val="00233342"/>
    <w:rsid w:val="00235E8C"/>
    <w:rsid w:val="00236339"/>
    <w:rsid w:val="002452C2"/>
    <w:rsid w:val="00285C2B"/>
    <w:rsid w:val="00292FB0"/>
    <w:rsid w:val="002B0AA9"/>
    <w:rsid w:val="002B22BD"/>
    <w:rsid w:val="002F24DD"/>
    <w:rsid w:val="00300ED1"/>
    <w:rsid w:val="00375794"/>
    <w:rsid w:val="0039694B"/>
    <w:rsid w:val="003B0450"/>
    <w:rsid w:val="003C2B23"/>
    <w:rsid w:val="00400660"/>
    <w:rsid w:val="00411EA9"/>
    <w:rsid w:val="004323E2"/>
    <w:rsid w:val="004809B5"/>
    <w:rsid w:val="0048171F"/>
    <w:rsid w:val="004A4443"/>
    <w:rsid w:val="004E3393"/>
    <w:rsid w:val="0053493E"/>
    <w:rsid w:val="00552894"/>
    <w:rsid w:val="00573632"/>
    <w:rsid w:val="00582F02"/>
    <w:rsid w:val="005836EE"/>
    <w:rsid w:val="00592415"/>
    <w:rsid w:val="005A78E1"/>
    <w:rsid w:val="005B7B02"/>
    <w:rsid w:val="005C2584"/>
    <w:rsid w:val="005D6126"/>
    <w:rsid w:val="005D6697"/>
    <w:rsid w:val="005E4CE7"/>
    <w:rsid w:val="00615720"/>
    <w:rsid w:val="006242F2"/>
    <w:rsid w:val="00630E46"/>
    <w:rsid w:val="00640239"/>
    <w:rsid w:val="00657BE9"/>
    <w:rsid w:val="006A3C8D"/>
    <w:rsid w:val="006B15AF"/>
    <w:rsid w:val="006C74F4"/>
    <w:rsid w:val="006C7B90"/>
    <w:rsid w:val="006E6501"/>
    <w:rsid w:val="006F3A31"/>
    <w:rsid w:val="00710C1B"/>
    <w:rsid w:val="0071676A"/>
    <w:rsid w:val="00723636"/>
    <w:rsid w:val="00732FDA"/>
    <w:rsid w:val="007503E7"/>
    <w:rsid w:val="00782511"/>
    <w:rsid w:val="007A60E8"/>
    <w:rsid w:val="007B2EB5"/>
    <w:rsid w:val="007D2546"/>
    <w:rsid w:val="007E2EE8"/>
    <w:rsid w:val="00810FCD"/>
    <w:rsid w:val="00837011"/>
    <w:rsid w:val="00843AA8"/>
    <w:rsid w:val="00847793"/>
    <w:rsid w:val="008A3491"/>
    <w:rsid w:val="008A44B7"/>
    <w:rsid w:val="008B0C0D"/>
    <w:rsid w:val="008F7660"/>
    <w:rsid w:val="00902530"/>
    <w:rsid w:val="00914652"/>
    <w:rsid w:val="00917DEA"/>
    <w:rsid w:val="00921438"/>
    <w:rsid w:val="00924346"/>
    <w:rsid w:val="00963951"/>
    <w:rsid w:val="00965A89"/>
    <w:rsid w:val="0098250E"/>
    <w:rsid w:val="009936E3"/>
    <w:rsid w:val="00996920"/>
    <w:rsid w:val="009C47C8"/>
    <w:rsid w:val="009D30C1"/>
    <w:rsid w:val="009E0963"/>
    <w:rsid w:val="009E6C7B"/>
    <w:rsid w:val="009E6E6B"/>
    <w:rsid w:val="009F0BA5"/>
    <w:rsid w:val="00A109BD"/>
    <w:rsid w:val="00A1114A"/>
    <w:rsid w:val="00A13D35"/>
    <w:rsid w:val="00A24541"/>
    <w:rsid w:val="00A26F2A"/>
    <w:rsid w:val="00A417D5"/>
    <w:rsid w:val="00A51D6E"/>
    <w:rsid w:val="00A61CE9"/>
    <w:rsid w:val="00A61F15"/>
    <w:rsid w:val="00A76055"/>
    <w:rsid w:val="00A761D0"/>
    <w:rsid w:val="00A80642"/>
    <w:rsid w:val="00A876B3"/>
    <w:rsid w:val="00A954C2"/>
    <w:rsid w:val="00A96F42"/>
    <w:rsid w:val="00A96F54"/>
    <w:rsid w:val="00AC7DB1"/>
    <w:rsid w:val="00B242F9"/>
    <w:rsid w:val="00B262FD"/>
    <w:rsid w:val="00B44A25"/>
    <w:rsid w:val="00B6535A"/>
    <w:rsid w:val="00B927AD"/>
    <w:rsid w:val="00BA3803"/>
    <w:rsid w:val="00BA77DA"/>
    <w:rsid w:val="00BC52AD"/>
    <w:rsid w:val="00BD31C9"/>
    <w:rsid w:val="00BD4257"/>
    <w:rsid w:val="00C01E9D"/>
    <w:rsid w:val="00C05A88"/>
    <w:rsid w:val="00C12C1E"/>
    <w:rsid w:val="00C45919"/>
    <w:rsid w:val="00C53AE4"/>
    <w:rsid w:val="00C97CCA"/>
    <w:rsid w:val="00CB5B77"/>
    <w:rsid w:val="00CB7B51"/>
    <w:rsid w:val="00CC29A1"/>
    <w:rsid w:val="00CC32B4"/>
    <w:rsid w:val="00CC46A3"/>
    <w:rsid w:val="00CD1E58"/>
    <w:rsid w:val="00CD3A6B"/>
    <w:rsid w:val="00CE38A7"/>
    <w:rsid w:val="00CF31C5"/>
    <w:rsid w:val="00D20CF8"/>
    <w:rsid w:val="00D252FA"/>
    <w:rsid w:val="00D41690"/>
    <w:rsid w:val="00D6223C"/>
    <w:rsid w:val="00D6314A"/>
    <w:rsid w:val="00D70871"/>
    <w:rsid w:val="00D87B0A"/>
    <w:rsid w:val="00D922E4"/>
    <w:rsid w:val="00DC42BA"/>
    <w:rsid w:val="00DC6BF8"/>
    <w:rsid w:val="00DF394C"/>
    <w:rsid w:val="00E1629B"/>
    <w:rsid w:val="00E26F35"/>
    <w:rsid w:val="00E46A4E"/>
    <w:rsid w:val="00E475D9"/>
    <w:rsid w:val="00E533B6"/>
    <w:rsid w:val="00E756EF"/>
    <w:rsid w:val="00E877FF"/>
    <w:rsid w:val="00E9147F"/>
    <w:rsid w:val="00ED3139"/>
    <w:rsid w:val="00ED657A"/>
    <w:rsid w:val="00EE162E"/>
    <w:rsid w:val="00EF1AA1"/>
    <w:rsid w:val="00F0273E"/>
    <w:rsid w:val="00F02D82"/>
    <w:rsid w:val="00F15D3F"/>
    <w:rsid w:val="00F20EB1"/>
    <w:rsid w:val="00F3561E"/>
    <w:rsid w:val="00F54FC6"/>
    <w:rsid w:val="00F719F2"/>
    <w:rsid w:val="00F75752"/>
    <w:rsid w:val="00F75FC5"/>
    <w:rsid w:val="00FA4AD4"/>
    <w:rsid w:val="02522B1A"/>
    <w:rsid w:val="03276B4A"/>
    <w:rsid w:val="03E37CB5"/>
    <w:rsid w:val="042E253E"/>
    <w:rsid w:val="04BD7D66"/>
    <w:rsid w:val="04E07914"/>
    <w:rsid w:val="05A634A6"/>
    <w:rsid w:val="06467E27"/>
    <w:rsid w:val="06695035"/>
    <w:rsid w:val="067129B7"/>
    <w:rsid w:val="07B94814"/>
    <w:rsid w:val="08145FB5"/>
    <w:rsid w:val="08376623"/>
    <w:rsid w:val="08BD41A6"/>
    <w:rsid w:val="08F80031"/>
    <w:rsid w:val="09266631"/>
    <w:rsid w:val="0A1B7155"/>
    <w:rsid w:val="0A473915"/>
    <w:rsid w:val="0A6C4D07"/>
    <w:rsid w:val="0A9472F0"/>
    <w:rsid w:val="0AB50239"/>
    <w:rsid w:val="0C4663C1"/>
    <w:rsid w:val="0D026A8E"/>
    <w:rsid w:val="0D1A0E9D"/>
    <w:rsid w:val="0D9709E7"/>
    <w:rsid w:val="0DCE55DB"/>
    <w:rsid w:val="0E324D6E"/>
    <w:rsid w:val="0E3F17C9"/>
    <w:rsid w:val="0E7E1270"/>
    <w:rsid w:val="0EC67F17"/>
    <w:rsid w:val="0EF17ACC"/>
    <w:rsid w:val="0F7123FE"/>
    <w:rsid w:val="10EA0B23"/>
    <w:rsid w:val="1157144F"/>
    <w:rsid w:val="118C5DBE"/>
    <w:rsid w:val="11E17588"/>
    <w:rsid w:val="1214242E"/>
    <w:rsid w:val="141551F1"/>
    <w:rsid w:val="14656C9B"/>
    <w:rsid w:val="147858D2"/>
    <w:rsid w:val="14AB0A02"/>
    <w:rsid w:val="14D831E5"/>
    <w:rsid w:val="14F50E56"/>
    <w:rsid w:val="15440AD1"/>
    <w:rsid w:val="15EF2CB6"/>
    <w:rsid w:val="16216284"/>
    <w:rsid w:val="16505CF7"/>
    <w:rsid w:val="165841A2"/>
    <w:rsid w:val="176F1196"/>
    <w:rsid w:val="177318B7"/>
    <w:rsid w:val="17B938BB"/>
    <w:rsid w:val="181D31B0"/>
    <w:rsid w:val="18C700F1"/>
    <w:rsid w:val="19832ED4"/>
    <w:rsid w:val="19AC1D27"/>
    <w:rsid w:val="1A04476A"/>
    <w:rsid w:val="1A8E27D3"/>
    <w:rsid w:val="1ADB6FAD"/>
    <w:rsid w:val="1AF079B3"/>
    <w:rsid w:val="1B164719"/>
    <w:rsid w:val="1C84599A"/>
    <w:rsid w:val="1C8E6E19"/>
    <w:rsid w:val="1E605592"/>
    <w:rsid w:val="1ECE3DCA"/>
    <w:rsid w:val="1F464788"/>
    <w:rsid w:val="1FDA3D0E"/>
    <w:rsid w:val="1FFC7AF6"/>
    <w:rsid w:val="20A4060B"/>
    <w:rsid w:val="225E18A7"/>
    <w:rsid w:val="22B52876"/>
    <w:rsid w:val="24172B97"/>
    <w:rsid w:val="242B1DA9"/>
    <w:rsid w:val="244336D7"/>
    <w:rsid w:val="254C162C"/>
    <w:rsid w:val="259507EF"/>
    <w:rsid w:val="26634D43"/>
    <w:rsid w:val="26680038"/>
    <w:rsid w:val="26C279FF"/>
    <w:rsid w:val="26E34E12"/>
    <w:rsid w:val="270D66F1"/>
    <w:rsid w:val="273A575B"/>
    <w:rsid w:val="27D30628"/>
    <w:rsid w:val="283C0E1E"/>
    <w:rsid w:val="28565A50"/>
    <w:rsid w:val="291C4DCD"/>
    <w:rsid w:val="296A402E"/>
    <w:rsid w:val="299F7A4E"/>
    <w:rsid w:val="2A824DB9"/>
    <w:rsid w:val="2ABC2A0E"/>
    <w:rsid w:val="2ACF5F79"/>
    <w:rsid w:val="2BCF222F"/>
    <w:rsid w:val="2C651E6B"/>
    <w:rsid w:val="2CE46A49"/>
    <w:rsid w:val="2CF1292C"/>
    <w:rsid w:val="2D61729A"/>
    <w:rsid w:val="2D810587"/>
    <w:rsid w:val="2E1B2E6F"/>
    <w:rsid w:val="2E3E68EB"/>
    <w:rsid w:val="2E461D0B"/>
    <w:rsid w:val="2F127845"/>
    <w:rsid w:val="2FA27C83"/>
    <w:rsid w:val="2FE20B8A"/>
    <w:rsid w:val="304814EA"/>
    <w:rsid w:val="304A09A3"/>
    <w:rsid w:val="30A67F1F"/>
    <w:rsid w:val="30D15789"/>
    <w:rsid w:val="30D61696"/>
    <w:rsid w:val="315B796D"/>
    <w:rsid w:val="327D61CC"/>
    <w:rsid w:val="330147BD"/>
    <w:rsid w:val="332E6D7F"/>
    <w:rsid w:val="335D2277"/>
    <w:rsid w:val="35112656"/>
    <w:rsid w:val="36685B1A"/>
    <w:rsid w:val="36EF0D5F"/>
    <w:rsid w:val="371F7471"/>
    <w:rsid w:val="380C0CA7"/>
    <w:rsid w:val="38894F56"/>
    <w:rsid w:val="394A2C66"/>
    <w:rsid w:val="3A1E41E2"/>
    <w:rsid w:val="3A791961"/>
    <w:rsid w:val="3A9F6AF6"/>
    <w:rsid w:val="3B0361C1"/>
    <w:rsid w:val="3B4022E5"/>
    <w:rsid w:val="3B94125D"/>
    <w:rsid w:val="3BC81AB2"/>
    <w:rsid w:val="3BD64801"/>
    <w:rsid w:val="3C8972A1"/>
    <w:rsid w:val="3CC41350"/>
    <w:rsid w:val="3D102924"/>
    <w:rsid w:val="3D194723"/>
    <w:rsid w:val="3D7B7838"/>
    <w:rsid w:val="3DF47A87"/>
    <w:rsid w:val="3E337DE4"/>
    <w:rsid w:val="3E794679"/>
    <w:rsid w:val="3FD35EC6"/>
    <w:rsid w:val="40536C2D"/>
    <w:rsid w:val="405D2F2A"/>
    <w:rsid w:val="40641E13"/>
    <w:rsid w:val="40F848D6"/>
    <w:rsid w:val="41144ECC"/>
    <w:rsid w:val="41403868"/>
    <w:rsid w:val="41552BF3"/>
    <w:rsid w:val="41CF43BE"/>
    <w:rsid w:val="428D4A64"/>
    <w:rsid w:val="42D72927"/>
    <w:rsid w:val="434846C3"/>
    <w:rsid w:val="44B9694A"/>
    <w:rsid w:val="450622EE"/>
    <w:rsid w:val="45C75269"/>
    <w:rsid w:val="462664C3"/>
    <w:rsid w:val="46396241"/>
    <w:rsid w:val="463C0ED7"/>
    <w:rsid w:val="46427615"/>
    <w:rsid w:val="47AF3A9C"/>
    <w:rsid w:val="48BC135F"/>
    <w:rsid w:val="4987297A"/>
    <w:rsid w:val="4A01439A"/>
    <w:rsid w:val="4BBD1D4A"/>
    <w:rsid w:val="4BEB1A99"/>
    <w:rsid w:val="4D6537C7"/>
    <w:rsid w:val="4DC5534B"/>
    <w:rsid w:val="4E510ADB"/>
    <w:rsid w:val="4F77235F"/>
    <w:rsid w:val="4FB92ED2"/>
    <w:rsid w:val="4FCC7303"/>
    <w:rsid w:val="50D46B36"/>
    <w:rsid w:val="50F04E9E"/>
    <w:rsid w:val="51181808"/>
    <w:rsid w:val="5132041C"/>
    <w:rsid w:val="51EC649B"/>
    <w:rsid w:val="524D4870"/>
    <w:rsid w:val="528768BE"/>
    <w:rsid w:val="528E1DED"/>
    <w:rsid w:val="53395848"/>
    <w:rsid w:val="538E5301"/>
    <w:rsid w:val="53EF29E4"/>
    <w:rsid w:val="544537F1"/>
    <w:rsid w:val="553A196A"/>
    <w:rsid w:val="562C7C0C"/>
    <w:rsid w:val="56435036"/>
    <w:rsid w:val="572A6162"/>
    <w:rsid w:val="57755163"/>
    <w:rsid w:val="57C30761"/>
    <w:rsid w:val="5861294D"/>
    <w:rsid w:val="5A8104D0"/>
    <w:rsid w:val="5C132E22"/>
    <w:rsid w:val="5C793F72"/>
    <w:rsid w:val="5D02691A"/>
    <w:rsid w:val="5DB23D55"/>
    <w:rsid w:val="5E5B5900"/>
    <w:rsid w:val="5EAA5DDA"/>
    <w:rsid w:val="5ED32E78"/>
    <w:rsid w:val="5F5A73F1"/>
    <w:rsid w:val="60A378C2"/>
    <w:rsid w:val="611B6B1B"/>
    <w:rsid w:val="611F36E6"/>
    <w:rsid w:val="6165778E"/>
    <w:rsid w:val="61E64A42"/>
    <w:rsid w:val="623B62FB"/>
    <w:rsid w:val="62DE4692"/>
    <w:rsid w:val="63730FD8"/>
    <w:rsid w:val="63746087"/>
    <w:rsid w:val="63FC2036"/>
    <w:rsid w:val="64F144DB"/>
    <w:rsid w:val="66803865"/>
    <w:rsid w:val="67352034"/>
    <w:rsid w:val="674E37A1"/>
    <w:rsid w:val="67555828"/>
    <w:rsid w:val="677067FF"/>
    <w:rsid w:val="678D2FE8"/>
    <w:rsid w:val="679E521A"/>
    <w:rsid w:val="67BA662C"/>
    <w:rsid w:val="67D76531"/>
    <w:rsid w:val="68EC276A"/>
    <w:rsid w:val="690903FF"/>
    <w:rsid w:val="69F84CD2"/>
    <w:rsid w:val="6A010230"/>
    <w:rsid w:val="6A333E55"/>
    <w:rsid w:val="6A45417E"/>
    <w:rsid w:val="6C8D5AC0"/>
    <w:rsid w:val="6CB740AF"/>
    <w:rsid w:val="6D120910"/>
    <w:rsid w:val="6E731D44"/>
    <w:rsid w:val="6EB22DAA"/>
    <w:rsid w:val="6EE4021E"/>
    <w:rsid w:val="6F08052B"/>
    <w:rsid w:val="6F85150D"/>
    <w:rsid w:val="71BF7180"/>
    <w:rsid w:val="72462011"/>
    <w:rsid w:val="725F4167"/>
    <w:rsid w:val="73311CD7"/>
    <w:rsid w:val="739A5AF4"/>
    <w:rsid w:val="73E24D88"/>
    <w:rsid w:val="73EB2D72"/>
    <w:rsid w:val="74091361"/>
    <w:rsid w:val="7445094B"/>
    <w:rsid w:val="74BE3A3B"/>
    <w:rsid w:val="75660FEE"/>
    <w:rsid w:val="75932FBC"/>
    <w:rsid w:val="75DE488F"/>
    <w:rsid w:val="761C6CF2"/>
    <w:rsid w:val="76C23869"/>
    <w:rsid w:val="775A1CF3"/>
    <w:rsid w:val="78212811"/>
    <w:rsid w:val="78352509"/>
    <w:rsid w:val="784F0B9A"/>
    <w:rsid w:val="78B67C22"/>
    <w:rsid w:val="78DE3CAF"/>
    <w:rsid w:val="7A5E30EF"/>
    <w:rsid w:val="7AAE14AF"/>
    <w:rsid w:val="7AED5858"/>
    <w:rsid w:val="7B3E22C1"/>
    <w:rsid w:val="7B990318"/>
    <w:rsid w:val="7BE843DE"/>
    <w:rsid w:val="7BE8631D"/>
    <w:rsid w:val="7C1F5E30"/>
    <w:rsid w:val="7C813AC9"/>
    <w:rsid w:val="7D260584"/>
    <w:rsid w:val="7D6531A0"/>
    <w:rsid w:val="7D6E2F84"/>
    <w:rsid w:val="7DF16C0F"/>
    <w:rsid w:val="7E7479D6"/>
    <w:rsid w:val="7ED55884"/>
    <w:rsid w:val="7EF96C59"/>
    <w:rsid w:val="7F472C9E"/>
    <w:rsid w:val="7F9C796C"/>
    <w:rsid w:val="7FA136A7"/>
    <w:rsid w:val="7FD00943"/>
    <w:rsid w:val="7FE5081A"/>
    <w:rsid w:val="7FF31F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kern w:val="0"/>
      <w:sz w:val="24"/>
      <w:szCs w:val="20"/>
    </w:rPr>
  </w:style>
  <w:style w:type="paragraph" w:styleId="3">
    <w:name w:val="Body Text Indent 2"/>
    <w:basedOn w:val="1"/>
    <w:next w:val="1"/>
    <w:qFormat/>
    <w:uiPriority w:val="0"/>
    <w:pPr>
      <w:spacing w:after="120" w:afterLines="0" w:afterAutospacing="0" w:line="480" w:lineRule="auto"/>
      <w:ind w:left="420" w:leftChars="200"/>
    </w:p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List"/>
    <w:basedOn w:val="1"/>
    <w:next w:val="1"/>
    <w:qFormat/>
    <w:uiPriority w:val="0"/>
    <w:pPr>
      <w:spacing w:line="300" w:lineRule="exact"/>
      <w:jc w:val="center"/>
    </w:pPr>
    <w:rPr>
      <w:rFonts w:ascii="Arial" w:hAnsi="Arial"/>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2"/>
    <w:next w:val="1"/>
    <w:qFormat/>
    <w:uiPriority w:val="0"/>
    <w:pPr>
      <w:adjustRightInd w:val="0"/>
      <w:spacing w:after="120" w:line="360" w:lineRule="auto"/>
      <w:ind w:left="420" w:leftChars="200" w:firstLine="420"/>
      <w:textAlignment w:val="baseline"/>
    </w:pPr>
    <w:rPr>
      <w:rFonts w:ascii="Times New Roman"/>
      <w:spacing w:val="0"/>
      <w:kern w:val="0"/>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Default"/>
    <w:basedOn w:val="1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4">
    <w:name w:val="纯文本1"/>
    <w:basedOn w:val="1"/>
    <w:qFormat/>
    <w:uiPriority w:val="99"/>
    <w:rPr>
      <w:rFonts w:ascii="宋体" w:hAnsi="Courier New" w:cs="宋体"/>
    </w:rPr>
  </w:style>
  <w:style w:type="paragraph" w:customStyle="1" w:styleId="15">
    <w:name w:val="0正文"/>
    <w:basedOn w:val="2"/>
    <w:qFormat/>
    <w:uiPriority w:val="0"/>
    <w:pPr>
      <w:ind w:firstLine="720"/>
    </w:pPr>
    <w:rPr>
      <w:szCs w:val="22"/>
    </w:rPr>
  </w:style>
  <w:style w:type="paragraph" w:customStyle="1" w:styleId="16">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7">
    <w:name w:val="中文报告书样式"/>
    <w:basedOn w:val="1"/>
    <w:qFormat/>
    <w:uiPriority w:val="0"/>
    <w:pPr>
      <w:adjustRightInd w:val="0"/>
      <w:spacing w:line="480" w:lineRule="atLeast"/>
      <w:ind w:firstLine="482"/>
      <w:textAlignment w:val="baseline"/>
    </w:pPr>
    <w:rPr>
      <w:spacing w:val="-2"/>
      <w:kern w:val="24"/>
      <w:sz w:val="24"/>
      <w:szCs w:val="20"/>
    </w:rPr>
  </w:style>
  <w:style w:type="paragraph" w:customStyle="1" w:styleId="18">
    <w:name w:val="小题内容"/>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gwh</Company>
  <Pages>4</Pages>
  <Words>1658</Words>
  <Characters>1844</Characters>
  <Lines>12</Lines>
  <Paragraphs>3</Paragraphs>
  <TotalTime>1</TotalTime>
  <ScaleCrop>false</ScaleCrop>
  <LinksUpToDate>false</LinksUpToDate>
  <CharactersWithSpaces>1891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2023-03-14T00:54:00Z</cp:lastPrinted>
  <dcterms:modified xsi:type="dcterms:W3CDTF">2025-06-19T00:46:49Z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66B2DE9CA75A45F786BDC303CD60F7CA_13</vt:lpwstr>
  </property>
  <property fmtid="{D5CDD505-2E9C-101B-9397-08002B2CF9AE}" pid="4" name="KSOTemplateDocerSaveRecord">
    <vt:lpwstr>eyJoZGlkIjoiY2Y3ZGJhZDJkYmQ0Y2NiZjk5ODA3NzM0YWQwMjM1OTMifQ==</vt:lpwstr>
  </property>
</Properties>
</file>